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9A1" w:rsidRDefault="00C47787" w:rsidP="00AD59CB">
      <w:pPr>
        <w:spacing w:before="100" w:beforeAutospacing="1" w:after="100" w:afterAutospacing="1"/>
        <w:jc w:val="center"/>
        <w:rPr>
          <w:rFonts w:asciiTheme="minorHAnsi" w:hAnsiTheme="minorHAnsi"/>
          <w:snapToGrid w:val="0"/>
          <w:lang w:val="hr-HR"/>
        </w:rPr>
      </w:pPr>
      <w:r>
        <w:rPr>
          <w:noProof/>
          <w:lang w:eastAsia="bs-Latn-BA"/>
        </w:rPr>
        <w:drawing>
          <wp:inline distT="0" distB="0" distL="0" distR="0">
            <wp:extent cx="573405" cy="8680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 cy="868045"/>
                    </a:xfrm>
                    <a:prstGeom prst="rect">
                      <a:avLst/>
                    </a:prstGeom>
                    <a:noFill/>
                  </pic:spPr>
                </pic:pic>
              </a:graphicData>
            </a:graphic>
          </wp:inline>
        </w:drawing>
      </w:r>
    </w:p>
    <w:p w:rsidR="00F039A1" w:rsidRDefault="00FC7A30" w:rsidP="00FC7A30">
      <w:pPr>
        <w:jc w:val="center"/>
        <w:rPr>
          <w:snapToGrid w:val="0"/>
          <w:lang w:val="hr-HR"/>
        </w:rPr>
      </w:pPr>
      <w:r w:rsidRPr="00607B90">
        <w:rPr>
          <w:b/>
          <w:bCs/>
        </w:rPr>
        <w:t>Općinski razvojni tim</w:t>
      </w:r>
    </w:p>
    <w:p w:rsidR="00F039A1" w:rsidRDefault="00F039A1" w:rsidP="00AD59CB">
      <w:pPr>
        <w:rPr>
          <w:snapToGrid w:val="0"/>
          <w:lang w:val="hr-HR"/>
        </w:rPr>
      </w:pPr>
    </w:p>
    <w:p w:rsidR="008C6C78" w:rsidRDefault="008C6C78" w:rsidP="00AD59CB">
      <w:pPr>
        <w:rPr>
          <w:snapToGrid w:val="0"/>
          <w:lang w:val="hr-HR"/>
        </w:rPr>
      </w:pPr>
    </w:p>
    <w:p w:rsidR="00F039A1" w:rsidRDefault="008E424D" w:rsidP="00AD59CB">
      <w:pPr>
        <w:rPr>
          <w:snapToGrid w:val="0"/>
          <w:lang w:val="hr-HR"/>
        </w:rPr>
      </w:pPr>
      <w:r>
        <w:rPr>
          <w:noProof/>
          <w:lang w:val="en-US"/>
        </w:rPr>
        <w:pict>
          <v:shapetype id="_x0000_t202" coordsize="21600,21600" o:spt="202" path="m,l,21600r21600,l21600,xe">
            <v:stroke joinstyle="miter"/>
            <v:path gradientshapeok="t" o:connecttype="rect"/>
          </v:shapetype>
          <v:shape id="Text Box 208" o:spid="_x0000_s1026" type="#_x0000_t202" style="position:absolute;left:0;text-align:left;margin-left:0;margin-top:214.5pt;width:332.45pt;height:578.85pt;z-index:251657216;visibility:visible;mso-wrap-distance-left:0;mso-wrap-distance-right:9.35pt;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" stroked="f">
            <v:fill opacity="0"/>
            <v:textbox inset="0,0,0,0">
              <w:txbxContent>
                <w:p w:rsidR="001E6FD0" w:rsidRDefault="001E6FD0" w:rsidP="001F3520">
                  <w:bookmarkStart w:id="0" w:name="_GoBack"/>
                  <w:bookmarkEnd w:id="0"/>
                </w:p>
              </w:txbxContent>
            </v:textbox>
            <w10:wrap type="square" anchorx="margin" anchory="page"/>
          </v:shape>
        </w:pict>
      </w:r>
    </w:p>
    <w:p w:rsidR="00F039A1" w:rsidRDefault="00F039A1" w:rsidP="00AD59CB">
      <w:pPr>
        <w:rPr>
          <w:snapToGrid w:val="0"/>
          <w:lang w:val="hr-HR"/>
        </w:rPr>
      </w:pPr>
    </w:p>
    <w:p w:rsidR="00F039A1" w:rsidRDefault="00F039A1" w:rsidP="00AD59CB">
      <w:pPr>
        <w:rPr>
          <w:snapToGrid w:val="0"/>
          <w:lang w:val="hr-HR"/>
        </w:rPr>
      </w:pPr>
    </w:p>
    <w:p w:rsidR="00F039A1" w:rsidRDefault="00F039A1" w:rsidP="00AD59CB">
      <w:pPr>
        <w:rPr>
          <w:snapToGrid w:val="0"/>
          <w:lang w:val="hr-HR"/>
        </w:rPr>
      </w:pPr>
    </w:p>
    <w:p w:rsidR="00F039A1" w:rsidRDefault="008E424D" w:rsidP="00AD59CB">
      <w:pPr>
        <w:rPr>
          <w:snapToGrid w:val="0"/>
          <w:lang w:val="hr-HR"/>
        </w:rPr>
      </w:pPr>
      <w:r>
        <w:rPr>
          <w:noProof/>
          <w:lang w:eastAsia="bs-Latn-BA"/>
        </w:rPr>
        <w:pict>
          <v:shape id="_x0000_s1030" type="#_x0000_t202" style="position:absolute;left:0;text-align:left;margin-left:60.25pt;margin-top:122.2pt;width:332.45pt;height:89.55pt;z-index:251659264" strokecolor="white">
            <v:textbox>
              <w:txbxContent>
                <w:p w:rsidR="001E6FD0" w:rsidRPr="00607B90" w:rsidRDefault="001E6FD0" w:rsidP="001E6FD0">
                  <w:pPr>
                    <w:pStyle w:val="Bezproreda"/>
                    <w:jc w:val="center"/>
                    <w:rPr>
                      <w:rFonts w:ascii="Times New Roman" w:hAnsi="Times New Roman" w:cs="Times New Roman"/>
                      <w:b/>
                      <w:bCs/>
                      <w:sz w:val="44"/>
                      <w:szCs w:val="44"/>
                      <w:lang w:val="bs-Latn-BA"/>
                    </w:rPr>
                  </w:pPr>
                  <w:r w:rsidRPr="00607B90">
                    <w:rPr>
                      <w:rFonts w:ascii="Times New Roman" w:hAnsi="Times New Roman" w:cs="Times New Roman"/>
                      <w:b/>
                      <w:bCs/>
                      <w:sz w:val="44"/>
                      <w:szCs w:val="44"/>
                      <w:lang w:val="bs-Latn-BA"/>
                    </w:rPr>
                    <w:t>STRATEGIJA LOKALNOG RAZVOJA OPĆINE KALESIJA</w:t>
                  </w:r>
                </w:p>
                <w:p w:rsidR="001E6FD0" w:rsidRDefault="001E6FD0" w:rsidP="001E6FD0">
                  <w:pPr>
                    <w:pStyle w:val="Bezproreda"/>
                    <w:jc w:val="center"/>
                    <w:rPr>
                      <w:rFonts w:ascii="Times New Roman" w:hAnsi="Times New Roman" w:cs="Times New Roman"/>
                      <w:b/>
                      <w:bCs/>
                      <w:sz w:val="44"/>
                      <w:szCs w:val="44"/>
                      <w:lang w:val="bs-Latn-BA"/>
                    </w:rPr>
                  </w:pPr>
                  <w:r>
                    <w:rPr>
                      <w:rFonts w:ascii="Times New Roman" w:hAnsi="Times New Roman" w:cs="Times New Roman"/>
                      <w:b/>
                      <w:bCs/>
                      <w:sz w:val="44"/>
                      <w:szCs w:val="44"/>
                      <w:lang w:val="bs-Latn-BA"/>
                    </w:rPr>
                    <w:t>2018-202</w:t>
                  </w:r>
                  <w:r w:rsidR="00D63B58">
                    <w:rPr>
                      <w:rFonts w:ascii="Times New Roman" w:hAnsi="Times New Roman" w:cs="Times New Roman"/>
                      <w:b/>
                      <w:bCs/>
                      <w:sz w:val="44"/>
                      <w:szCs w:val="44"/>
                      <w:lang w:val="bs-Latn-BA"/>
                    </w:rPr>
                    <w:t>5</w:t>
                  </w:r>
                </w:p>
                <w:p w:rsidR="00FC7A30" w:rsidRPr="00607B90" w:rsidRDefault="00FC7A30" w:rsidP="001E6FD0">
                  <w:pPr>
                    <w:pStyle w:val="Bezproreda"/>
                    <w:jc w:val="center"/>
                    <w:rPr>
                      <w:rFonts w:ascii="Times New Roman" w:hAnsi="Times New Roman" w:cs="Times New Roman"/>
                      <w:b/>
                      <w:bCs/>
                      <w:sz w:val="44"/>
                      <w:szCs w:val="44"/>
                      <w:lang w:val="bs-Latn-BA"/>
                    </w:rPr>
                  </w:pPr>
                </w:p>
                <w:p w:rsidR="001E6FD0" w:rsidRDefault="001E6FD0"/>
              </w:txbxContent>
            </v:textbox>
          </v:shape>
        </w:pict>
      </w:r>
      <w:r>
        <w:rPr>
          <w:noProof/>
          <w:lang w:eastAsia="bs-Latn-BA"/>
        </w:rPr>
        <w:pict>
          <v:shape id="_x0000_s1028" type="#_x0000_t202" style="position:absolute;left:0;text-align:left;margin-left:64pt;margin-top:470.3pt;width:332.45pt;height:40.05pt;z-index:251658240" filled="f" fillcolor="white [3212]" strokecolor="white [3212]">
            <v:textbox>
              <w:txbxContent>
                <w:tbl>
                  <w:tblPr>
                    <w:tblW w:w="6547" w:type="dxa"/>
                    <w:tblLayout w:type="fixed"/>
                    <w:tblLook w:val="0000" w:firstRow="0" w:lastRow="0" w:firstColumn="0" w:lastColumn="0" w:noHBand="0" w:noVBand="0"/>
                  </w:tblPr>
                  <w:tblGrid>
                    <w:gridCol w:w="6547"/>
                  </w:tblGrid>
                  <w:tr w:rsidR="001E6FD0" w:rsidRPr="00607B90" w:rsidTr="006D6CF3">
                    <w:trPr>
                      <w:trHeight w:val="300"/>
                    </w:trPr>
                    <w:tc>
                      <w:tcPr>
                        <w:tcW w:w="6547" w:type="dxa"/>
                        <w:shd w:val="clear" w:color="auto" w:fill="auto"/>
                        <w:vAlign w:val="bottom"/>
                      </w:tcPr>
                      <w:p w:rsidR="001E6FD0" w:rsidRPr="00607B90" w:rsidRDefault="001E6FD0" w:rsidP="0068420F">
                        <w:pPr>
                          <w:pStyle w:val="Bezproreda"/>
                          <w:jc w:val="center"/>
                          <w:rPr>
                            <w:rFonts w:ascii="Times New Roman" w:hAnsi="Times New Roman" w:cs="Times New Roman"/>
                          </w:rPr>
                        </w:pPr>
                      </w:p>
                    </w:tc>
                  </w:tr>
                  <w:tr w:rsidR="001E6FD0" w:rsidRPr="00607B90" w:rsidTr="006D6CF3">
                    <w:trPr>
                      <w:trHeight w:val="300"/>
                    </w:trPr>
                    <w:tc>
                      <w:tcPr>
                        <w:tcW w:w="6547" w:type="dxa"/>
                        <w:shd w:val="clear" w:color="auto" w:fill="auto"/>
                        <w:vAlign w:val="bottom"/>
                      </w:tcPr>
                      <w:p w:rsidR="001E6FD0" w:rsidRPr="00607B90" w:rsidRDefault="001E6FD0" w:rsidP="0068420F">
                        <w:pPr>
                          <w:pStyle w:val="Bezproreda"/>
                          <w:jc w:val="center"/>
                          <w:rPr>
                            <w:rFonts w:ascii="Times New Roman" w:hAnsi="Times New Roman" w:cs="Times New Roman"/>
                          </w:rPr>
                        </w:pPr>
                        <w:r>
                          <w:rPr>
                            <w:rFonts w:ascii="Times New Roman" w:hAnsi="Times New Roman" w:cs="Times New Roman"/>
                            <w:b/>
                            <w:bCs/>
                            <w:lang w:val="bs-Latn-BA"/>
                          </w:rPr>
                          <w:t>decembar</w:t>
                        </w:r>
                        <w:r w:rsidRPr="00607B90">
                          <w:rPr>
                            <w:rFonts w:ascii="Times New Roman" w:hAnsi="Times New Roman" w:cs="Times New Roman"/>
                            <w:b/>
                            <w:bCs/>
                            <w:lang w:val="bs-Latn-BA"/>
                          </w:rPr>
                          <w:t xml:space="preserve"> 2017. godine</w:t>
                        </w:r>
                      </w:p>
                    </w:tc>
                  </w:tr>
                </w:tbl>
                <w:p w:rsidR="001E6FD0" w:rsidRDefault="001E6FD0"/>
              </w:txbxContent>
            </v:textbox>
          </v:shape>
        </w:pict>
      </w:r>
      <w:r w:rsidR="00F039A1">
        <w:rPr>
          <w:snapToGrid w:val="0"/>
          <w:lang w:val="hr-HR"/>
        </w:rPr>
        <w:br w:type="page"/>
      </w:r>
    </w:p>
    <w:p w:rsidR="0068420F" w:rsidRDefault="0080584D" w:rsidP="00AD59CB">
      <w:pPr>
        <w:pStyle w:val="TOC1"/>
        <w:rPr>
          <w:noProof/>
        </w:rPr>
      </w:pPr>
      <w:r w:rsidRPr="0080584D">
        <w:rPr>
          <w:sz w:val="32"/>
        </w:rPr>
        <w:lastRenderedPageBreak/>
        <w:t>SADRŽAJ</w:t>
      </w:r>
      <w:r>
        <w:br/>
      </w:r>
      <w:r w:rsidR="00EE760F">
        <w:fldChar w:fldCharType="begin"/>
      </w:r>
      <w:r>
        <w:instrText xml:space="preserve"> TOC \o "1-4" \h \z \u </w:instrText>
      </w:r>
      <w:r w:rsidR="00EE760F">
        <w:fldChar w:fldCharType="separate"/>
      </w:r>
    </w:p>
    <w:p w:rsidR="0068420F" w:rsidRDefault="008E424D">
      <w:pPr>
        <w:pStyle w:val="TOC1"/>
        <w:rPr>
          <w:rFonts w:asciiTheme="minorHAnsi" w:eastAsiaTheme="minorEastAsia" w:hAnsiTheme="minorHAnsi" w:cstheme="minorBidi"/>
          <w:b w:val="0"/>
          <w:noProof/>
          <w:lang w:val="en-US"/>
        </w:rPr>
      </w:pPr>
      <w:hyperlink w:anchor="_Toc500139996" w:history="1">
        <w:r w:rsidR="0068420F" w:rsidRPr="009C6430">
          <w:rPr>
            <w:rStyle w:val="Hyperlink"/>
            <w:noProof/>
          </w:rPr>
          <w:t>II</w:t>
        </w:r>
        <w:r w:rsidR="0068420F">
          <w:rPr>
            <w:rFonts w:asciiTheme="minorHAnsi" w:eastAsiaTheme="minorEastAsia" w:hAnsiTheme="minorHAnsi" w:cstheme="minorBidi"/>
            <w:b w:val="0"/>
            <w:noProof/>
            <w:lang w:val="en-US"/>
          </w:rPr>
          <w:tab/>
        </w:r>
        <w:r w:rsidR="0068420F" w:rsidRPr="009C6430">
          <w:rPr>
            <w:rStyle w:val="Hyperlink"/>
            <w:noProof/>
          </w:rPr>
          <w:t>Uvod</w:t>
        </w:r>
        <w:r w:rsidR="0068420F">
          <w:rPr>
            <w:noProof/>
            <w:webHidden/>
          </w:rPr>
          <w:tab/>
        </w:r>
        <w:r w:rsidR="0068420F">
          <w:rPr>
            <w:noProof/>
            <w:webHidden/>
          </w:rPr>
          <w:fldChar w:fldCharType="begin"/>
        </w:r>
        <w:r w:rsidR="0068420F">
          <w:rPr>
            <w:noProof/>
            <w:webHidden/>
          </w:rPr>
          <w:instrText xml:space="preserve"> PAGEREF _Toc500139996 \h </w:instrText>
        </w:r>
        <w:r w:rsidR="0068420F">
          <w:rPr>
            <w:noProof/>
            <w:webHidden/>
          </w:rPr>
        </w:r>
        <w:r w:rsidR="0068420F">
          <w:rPr>
            <w:noProof/>
            <w:webHidden/>
          </w:rPr>
          <w:fldChar w:fldCharType="separate"/>
        </w:r>
        <w:r w:rsidR="0068420F">
          <w:rPr>
            <w:noProof/>
            <w:webHidden/>
          </w:rPr>
          <w:t>4</w:t>
        </w:r>
        <w:r w:rsidR="0068420F">
          <w:rPr>
            <w:noProof/>
            <w:webHidden/>
          </w:rPr>
          <w:fldChar w:fldCharType="end"/>
        </w:r>
      </w:hyperlink>
    </w:p>
    <w:p w:rsidR="0068420F" w:rsidRDefault="008E424D">
      <w:pPr>
        <w:pStyle w:val="TOC1"/>
        <w:rPr>
          <w:rFonts w:asciiTheme="minorHAnsi" w:eastAsiaTheme="minorEastAsia" w:hAnsiTheme="minorHAnsi" w:cstheme="minorBidi"/>
          <w:b w:val="0"/>
          <w:noProof/>
          <w:lang w:val="en-US"/>
        </w:rPr>
      </w:pPr>
      <w:hyperlink w:anchor="_Toc500139997" w:history="1">
        <w:r w:rsidR="0068420F" w:rsidRPr="009C6430">
          <w:rPr>
            <w:rStyle w:val="Hyperlink"/>
            <w:noProof/>
          </w:rPr>
          <w:t>III</w:t>
        </w:r>
        <w:r w:rsidR="0068420F">
          <w:rPr>
            <w:rFonts w:asciiTheme="minorHAnsi" w:eastAsiaTheme="minorEastAsia" w:hAnsiTheme="minorHAnsi" w:cstheme="minorBidi"/>
            <w:b w:val="0"/>
            <w:noProof/>
            <w:lang w:val="en-US"/>
          </w:rPr>
          <w:tab/>
        </w:r>
        <w:r w:rsidR="0068420F" w:rsidRPr="009C6430">
          <w:rPr>
            <w:rStyle w:val="Hyperlink"/>
            <w:noProof/>
          </w:rPr>
          <w:t>Metodologija kreiranja strategije lokalnog razvoja</w:t>
        </w:r>
        <w:r w:rsidR="0068420F">
          <w:rPr>
            <w:noProof/>
            <w:webHidden/>
          </w:rPr>
          <w:tab/>
        </w:r>
        <w:r w:rsidR="0068420F">
          <w:rPr>
            <w:noProof/>
            <w:webHidden/>
          </w:rPr>
          <w:fldChar w:fldCharType="begin"/>
        </w:r>
        <w:r w:rsidR="0068420F">
          <w:rPr>
            <w:noProof/>
            <w:webHidden/>
          </w:rPr>
          <w:instrText xml:space="preserve"> PAGEREF _Toc500139997 \h </w:instrText>
        </w:r>
        <w:r w:rsidR="0068420F">
          <w:rPr>
            <w:noProof/>
            <w:webHidden/>
          </w:rPr>
        </w:r>
        <w:r w:rsidR="0068420F">
          <w:rPr>
            <w:noProof/>
            <w:webHidden/>
          </w:rPr>
          <w:fldChar w:fldCharType="separate"/>
        </w:r>
        <w:r w:rsidR="0068420F">
          <w:rPr>
            <w:noProof/>
            <w:webHidden/>
          </w:rPr>
          <w:t>5</w:t>
        </w:r>
        <w:r w:rsidR="0068420F">
          <w:rPr>
            <w:noProof/>
            <w:webHidden/>
          </w:rPr>
          <w:fldChar w:fldCharType="end"/>
        </w:r>
      </w:hyperlink>
    </w:p>
    <w:p w:rsidR="0068420F" w:rsidRDefault="008E424D">
      <w:pPr>
        <w:pStyle w:val="TOC1"/>
        <w:rPr>
          <w:rFonts w:asciiTheme="minorHAnsi" w:eastAsiaTheme="minorEastAsia" w:hAnsiTheme="minorHAnsi" w:cstheme="minorBidi"/>
          <w:b w:val="0"/>
          <w:noProof/>
          <w:lang w:val="en-US"/>
        </w:rPr>
      </w:pPr>
      <w:hyperlink w:anchor="_Toc500139998" w:history="1">
        <w:r w:rsidR="0068420F" w:rsidRPr="009C6430">
          <w:rPr>
            <w:rStyle w:val="Hyperlink"/>
            <w:noProof/>
          </w:rPr>
          <w:t>IV</w:t>
        </w:r>
        <w:r w:rsidR="0068420F">
          <w:rPr>
            <w:rFonts w:asciiTheme="minorHAnsi" w:eastAsiaTheme="minorEastAsia" w:hAnsiTheme="minorHAnsi" w:cstheme="minorBidi"/>
            <w:b w:val="0"/>
            <w:noProof/>
            <w:lang w:val="en-US"/>
          </w:rPr>
          <w:tab/>
        </w:r>
        <w:r w:rsidR="0068420F" w:rsidRPr="009C6430">
          <w:rPr>
            <w:rStyle w:val="Hyperlink"/>
            <w:noProof/>
          </w:rPr>
          <w:t>Strateška platforma</w:t>
        </w:r>
        <w:r w:rsidR="0068420F">
          <w:rPr>
            <w:noProof/>
            <w:webHidden/>
          </w:rPr>
          <w:tab/>
        </w:r>
        <w:r w:rsidR="0068420F">
          <w:rPr>
            <w:noProof/>
            <w:webHidden/>
          </w:rPr>
          <w:fldChar w:fldCharType="begin"/>
        </w:r>
        <w:r w:rsidR="0068420F">
          <w:rPr>
            <w:noProof/>
            <w:webHidden/>
          </w:rPr>
          <w:instrText xml:space="preserve"> PAGEREF _Toc500139998 \h </w:instrText>
        </w:r>
        <w:r w:rsidR="0068420F">
          <w:rPr>
            <w:noProof/>
            <w:webHidden/>
          </w:rPr>
        </w:r>
        <w:r w:rsidR="0068420F">
          <w:rPr>
            <w:noProof/>
            <w:webHidden/>
          </w:rPr>
          <w:fldChar w:fldCharType="separate"/>
        </w:r>
        <w:r w:rsidR="0068420F">
          <w:rPr>
            <w:noProof/>
            <w:webHidden/>
          </w:rPr>
          <w:t>6</w:t>
        </w:r>
        <w:r w:rsidR="0068420F">
          <w:rPr>
            <w:noProof/>
            <w:webHidden/>
          </w:rPr>
          <w:fldChar w:fldCharType="end"/>
        </w:r>
      </w:hyperlink>
    </w:p>
    <w:p w:rsidR="0068420F" w:rsidRDefault="008E424D">
      <w:pPr>
        <w:pStyle w:val="TOC2"/>
        <w:tabs>
          <w:tab w:val="left" w:pos="960"/>
          <w:tab w:val="right" w:leader="dot" w:pos="9060"/>
        </w:tabs>
        <w:rPr>
          <w:rFonts w:asciiTheme="minorHAnsi" w:eastAsiaTheme="minorEastAsia" w:hAnsiTheme="minorHAnsi" w:cstheme="minorBidi"/>
          <w:noProof/>
          <w:lang w:val="en-US"/>
        </w:rPr>
      </w:pPr>
      <w:hyperlink w:anchor="_Toc500139999" w:history="1">
        <w:r w:rsidR="0068420F" w:rsidRPr="009C6430">
          <w:rPr>
            <w:rStyle w:val="Hyperlink"/>
            <w:noProof/>
          </w:rPr>
          <w:t>IV.1.</w:t>
        </w:r>
        <w:r w:rsidR="0068420F">
          <w:rPr>
            <w:rFonts w:asciiTheme="minorHAnsi" w:eastAsiaTheme="minorEastAsia" w:hAnsiTheme="minorHAnsi" w:cstheme="minorBidi"/>
            <w:noProof/>
            <w:lang w:val="en-US"/>
          </w:rPr>
          <w:tab/>
        </w:r>
        <w:r w:rsidR="0068420F" w:rsidRPr="009C6430">
          <w:rPr>
            <w:rStyle w:val="Hyperlink"/>
            <w:noProof/>
          </w:rPr>
          <w:t>Socio-ekonomska analiza</w:t>
        </w:r>
        <w:r w:rsidR="0068420F">
          <w:rPr>
            <w:noProof/>
            <w:webHidden/>
          </w:rPr>
          <w:tab/>
        </w:r>
        <w:r w:rsidR="0068420F">
          <w:rPr>
            <w:noProof/>
            <w:webHidden/>
          </w:rPr>
          <w:fldChar w:fldCharType="begin"/>
        </w:r>
        <w:r w:rsidR="0068420F">
          <w:rPr>
            <w:noProof/>
            <w:webHidden/>
          </w:rPr>
          <w:instrText xml:space="preserve"> PAGEREF _Toc500139999 \h </w:instrText>
        </w:r>
        <w:r w:rsidR="0068420F">
          <w:rPr>
            <w:noProof/>
            <w:webHidden/>
          </w:rPr>
        </w:r>
        <w:r w:rsidR="0068420F">
          <w:rPr>
            <w:noProof/>
            <w:webHidden/>
          </w:rPr>
          <w:fldChar w:fldCharType="separate"/>
        </w:r>
        <w:r w:rsidR="0068420F">
          <w:rPr>
            <w:noProof/>
            <w:webHidden/>
          </w:rPr>
          <w:t>6</w:t>
        </w:r>
        <w:r w:rsidR="0068420F">
          <w:rPr>
            <w:noProof/>
            <w:webHidden/>
          </w:rPr>
          <w:fldChar w:fldCharType="end"/>
        </w:r>
      </w:hyperlink>
    </w:p>
    <w:p w:rsidR="0068420F" w:rsidRDefault="008E424D">
      <w:pPr>
        <w:pStyle w:val="TOC3"/>
        <w:tabs>
          <w:tab w:val="right" w:leader="dot" w:pos="9060"/>
        </w:tabs>
        <w:rPr>
          <w:rFonts w:asciiTheme="minorHAnsi" w:eastAsiaTheme="minorEastAsia" w:hAnsiTheme="minorHAnsi" w:cstheme="minorBidi"/>
          <w:noProof/>
          <w:lang w:val="en-US"/>
        </w:rPr>
      </w:pPr>
      <w:hyperlink w:anchor="_Toc500140000" w:history="1">
        <w:r w:rsidR="0068420F" w:rsidRPr="009C6430">
          <w:rPr>
            <w:rStyle w:val="Hyperlink"/>
            <w:noProof/>
          </w:rPr>
          <w:t>IV1.1. Profil lokalne zajednice</w:t>
        </w:r>
        <w:r w:rsidR="0068420F">
          <w:rPr>
            <w:noProof/>
            <w:webHidden/>
          </w:rPr>
          <w:tab/>
        </w:r>
        <w:r w:rsidR="0068420F">
          <w:rPr>
            <w:noProof/>
            <w:webHidden/>
          </w:rPr>
          <w:fldChar w:fldCharType="begin"/>
        </w:r>
        <w:r w:rsidR="0068420F">
          <w:rPr>
            <w:noProof/>
            <w:webHidden/>
          </w:rPr>
          <w:instrText xml:space="preserve"> PAGEREF _Toc500140000 \h </w:instrText>
        </w:r>
        <w:r w:rsidR="0068420F">
          <w:rPr>
            <w:noProof/>
            <w:webHidden/>
          </w:rPr>
        </w:r>
        <w:r w:rsidR="0068420F">
          <w:rPr>
            <w:noProof/>
            <w:webHidden/>
          </w:rPr>
          <w:fldChar w:fldCharType="separate"/>
        </w:r>
        <w:r w:rsidR="0068420F">
          <w:rPr>
            <w:noProof/>
            <w:webHidden/>
          </w:rPr>
          <w:t>6</w:t>
        </w:r>
        <w:r w:rsidR="0068420F">
          <w:rPr>
            <w:noProof/>
            <w:webHidden/>
          </w:rPr>
          <w:fldChar w:fldCharType="end"/>
        </w:r>
      </w:hyperlink>
    </w:p>
    <w:p w:rsidR="0068420F" w:rsidRDefault="008E424D">
      <w:pPr>
        <w:pStyle w:val="TOC3"/>
        <w:tabs>
          <w:tab w:val="right" w:leader="dot" w:pos="9060"/>
        </w:tabs>
        <w:rPr>
          <w:rFonts w:asciiTheme="minorHAnsi" w:eastAsiaTheme="minorEastAsia" w:hAnsiTheme="minorHAnsi" w:cstheme="minorBidi"/>
          <w:noProof/>
          <w:lang w:val="en-US"/>
        </w:rPr>
      </w:pPr>
      <w:hyperlink w:anchor="_Toc500140001" w:history="1">
        <w:r w:rsidR="0068420F" w:rsidRPr="009C6430">
          <w:rPr>
            <w:rStyle w:val="Hyperlink"/>
            <w:noProof/>
          </w:rPr>
          <w:t>IV1.2. Demografija</w:t>
        </w:r>
        <w:r w:rsidR="0068420F">
          <w:rPr>
            <w:noProof/>
            <w:webHidden/>
          </w:rPr>
          <w:tab/>
        </w:r>
        <w:r w:rsidR="0068420F">
          <w:rPr>
            <w:noProof/>
            <w:webHidden/>
          </w:rPr>
          <w:fldChar w:fldCharType="begin"/>
        </w:r>
        <w:r w:rsidR="0068420F">
          <w:rPr>
            <w:noProof/>
            <w:webHidden/>
          </w:rPr>
          <w:instrText xml:space="preserve"> PAGEREF _Toc500140001 \h </w:instrText>
        </w:r>
        <w:r w:rsidR="0068420F">
          <w:rPr>
            <w:noProof/>
            <w:webHidden/>
          </w:rPr>
        </w:r>
        <w:r w:rsidR="0068420F">
          <w:rPr>
            <w:noProof/>
            <w:webHidden/>
          </w:rPr>
          <w:fldChar w:fldCharType="separate"/>
        </w:r>
        <w:r w:rsidR="0068420F">
          <w:rPr>
            <w:noProof/>
            <w:webHidden/>
          </w:rPr>
          <w:t>6</w:t>
        </w:r>
        <w:r w:rsidR="0068420F">
          <w:rPr>
            <w:noProof/>
            <w:webHidden/>
          </w:rPr>
          <w:fldChar w:fldCharType="end"/>
        </w:r>
      </w:hyperlink>
    </w:p>
    <w:p w:rsidR="0068420F" w:rsidRDefault="008E424D">
      <w:pPr>
        <w:pStyle w:val="TOC3"/>
        <w:tabs>
          <w:tab w:val="right" w:leader="dot" w:pos="9060"/>
        </w:tabs>
        <w:rPr>
          <w:rFonts w:asciiTheme="minorHAnsi" w:eastAsiaTheme="minorEastAsia" w:hAnsiTheme="minorHAnsi" w:cstheme="minorBidi"/>
          <w:noProof/>
          <w:lang w:val="en-US"/>
        </w:rPr>
      </w:pPr>
      <w:hyperlink w:anchor="_Toc500140002" w:history="1">
        <w:r w:rsidR="0068420F" w:rsidRPr="009C6430">
          <w:rPr>
            <w:rStyle w:val="Hyperlink"/>
            <w:noProof/>
            <w:lang w:eastAsia="ar-SA"/>
          </w:rPr>
          <w:t>IV1.3. Lokalna ekonomija</w:t>
        </w:r>
        <w:r w:rsidR="0068420F">
          <w:rPr>
            <w:noProof/>
            <w:webHidden/>
          </w:rPr>
          <w:tab/>
        </w:r>
        <w:r w:rsidR="0068420F">
          <w:rPr>
            <w:noProof/>
            <w:webHidden/>
          </w:rPr>
          <w:fldChar w:fldCharType="begin"/>
        </w:r>
        <w:r w:rsidR="0068420F">
          <w:rPr>
            <w:noProof/>
            <w:webHidden/>
          </w:rPr>
          <w:instrText xml:space="preserve"> PAGEREF _Toc500140002 \h </w:instrText>
        </w:r>
        <w:r w:rsidR="0068420F">
          <w:rPr>
            <w:noProof/>
            <w:webHidden/>
          </w:rPr>
        </w:r>
        <w:r w:rsidR="0068420F">
          <w:rPr>
            <w:noProof/>
            <w:webHidden/>
          </w:rPr>
          <w:fldChar w:fldCharType="separate"/>
        </w:r>
        <w:r w:rsidR="0068420F">
          <w:rPr>
            <w:noProof/>
            <w:webHidden/>
          </w:rPr>
          <w:t>8</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03" w:history="1">
        <w:r w:rsidR="0068420F" w:rsidRPr="009C6430">
          <w:rPr>
            <w:rStyle w:val="Hyperlink"/>
            <w:noProof/>
            <w:lang w:eastAsia="ar-SA"/>
          </w:rPr>
          <w:t>Osnovni ekonomski pokazatelji</w:t>
        </w:r>
        <w:r w:rsidR="0068420F">
          <w:rPr>
            <w:noProof/>
            <w:webHidden/>
          </w:rPr>
          <w:tab/>
        </w:r>
        <w:r w:rsidR="0068420F">
          <w:rPr>
            <w:noProof/>
            <w:webHidden/>
          </w:rPr>
          <w:fldChar w:fldCharType="begin"/>
        </w:r>
        <w:r w:rsidR="0068420F">
          <w:rPr>
            <w:noProof/>
            <w:webHidden/>
          </w:rPr>
          <w:instrText xml:space="preserve"> PAGEREF _Toc500140003 \h </w:instrText>
        </w:r>
        <w:r w:rsidR="0068420F">
          <w:rPr>
            <w:noProof/>
            <w:webHidden/>
          </w:rPr>
        </w:r>
        <w:r w:rsidR="0068420F">
          <w:rPr>
            <w:noProof/>
            <w:webHidden/>
          </w:rPr>
          <w:fldChar w:fldCharType="separate"/>
        </w:r>
        <w:r w:rsidR="0068420F">
          <w:rPr>
            <w:noProof/>
            <w:webHidden/>
          </w:rPr>
          <w:t>8</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04" w:history="1">
        <w:r w:rsidR="0068420F" w:rsidRPr="009C6430">
          <w:rPr>
            <w:rStyle w:val="Hyperlink"/>
            <w:noProof/>
            <w:lang w:eastAsia="ar-SA"/>
          </w:rPr>
          <w:t>Direktna strana ulaganja</w:t>
        </w:r>
        <w:r w:rsidR="0068420F">
          <w:rPr>
            <w:noProof/>
            <w:webHidden/>
          </w:rPr>
          <w:tab/>
        </w:r>
        <w:r w:rsidR="0068420F">
          <w:rPr>
            <w:noProof/>
            <w:webHidden/>
          </w:rPr>
          <w:fldChar w:fldCharType="begin"/>
        </w:r>
        <w:r w:rsidR="0068420F">
          <w:rPr>
            <w:noProof/>
            <w:webHidden/>
          </w:rPr>
          <w:instrText xml:space="preserve"> PAGEREF _Toc500140004 \h </w:instrText>
        </w:r>
        <w:r w:rsidR="0068420F">
          <w:rPr>
            <w:noProof/>
            <w:webHidden/>
          </w:rPr>
        </w:r>
        <w:r w:rsidR="0068420F">
          <w:rPr>
            <w:noProof/>
            <w:webHidden/>
          </w:rPr>
          <w:fldChar w:fldCharType="separate"/>
        </w:r>
        <w:r w:rsidR="0068420F">
          <w:rPr>
            <w:noProof/>
            <w:webHidden/>
          </w:rPr>
          <w:t>10</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05" w:history="1">
        <w:r w:rsidR="0068420F" w:rsidRPr="009C6430">
          <w:rPr>
            <w:rStyle w:val="Hyperlink"/>
            <w:noProof/>
            <w:lang w:val="hr-HR" w:eastAsia="ar-SA"/>
          </w:rPr>
          <w:t>Struktura lokalne ekonomije</w:t>
        </w:r>
        <w:r w:rsidR="0068420F">
          <w:rPr>
            <w:noProof/>
            <w:webHidden/>
          </w:rPr>
          <w:tab/>
        </w:r>
        <w:r w:rsidR="0068420F">
          <w:rPr>
            <w:noProof/>
            <w:webHidden/>
          </w:rPr>
          <w:fldChar w:fldCharType="begin"/>
        </w:r>
        <w:r w:rsidR="0068420F">
          <w:rPr>
            <w:noProof/>
            <w:webHidden/>
          </w:rPr>
          <w:instrText xml:space="preserve"> PAGEREF _Toc500140005 \h </w:instrText>
        </w:r>
        <w:r w:rsidR="0068420F">
          <w:rPr>
            <w:noProof/>
            <w:webHidden/>
          </w:rPr>
        </w:r>
        <w:r w:rsidR="0068420F">
          <w:rPr>
            <w:noProof/>
            <w:webHidden/>
          </w:rPr>
          <w:fldChar w:fldCharType="separate"/>
        </w:r>
        <w:r w:rsidR="0068420F">
          <w:rPr>
            <w:noProof/>
            <w:webHidden/>
          </w:rPr>
          <w:t>11</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06" w:history="1">
        <w:r w:rsidR="0068420F" w:rsidRPr="009C6430">
          <w:rPr>
            <w:rStyle w:val="Hyperlink"/>
            <w:noProof/>
            <w:lang w:eastAsia="ar-SA"/>
          </w:rPr>
          <w:t>Prosječna plaća</w:t>
        </w:r>
        <w:r w:rsidR="0068420F">
          <w:rPr>
            <w:noProof/>
            <w:webHidden/>
          </w:rPr>
          <w:tab/>
        </w:r>
        <w:r w:rsidR="0068420F">
          <w:rPr>
            <w:noProof/>
            <w:webHidden/>
          </w:rPr>
          <w:fldChar w:fldCharType="begin"/>
        </w:r>
        <w:r w:rsidR="0068420F">
          <w:rPr>
            <w:noProof/>
            <w:webHidden/>
          </w:rPr>
          <w:instrText xml:space="preserve"> PAGEREF _Toc500140006 \h </w:instrText>
        </w:r>
        <w:r w:rsidR="0068420F">
          <w:rPr>
            <w:noProof/>
            <w:webHidden/>
          </w:rPr>
        </w:r>
        <w:r w:rsidR="0068420F">
          <w:rPr>
            <w:noProof/>
            <w:webHidden/>
          </w:rPr>
          <w:fldChar w:fldCharType="separate"/>
        </w:r>
        <w:r w:rsidR="0068420F">
          <w:rPr>
            <w:noProof/>
            <w:webHidden/>
          </w:rPr>
          <w:t>13</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07" w:history="1">
        <w:r w:rsidR="0068420F" w:rsidRPr="009C6430">
          <w:rPr>
            <w:rStyle w:val="Hyperlink"/>
            <w:noProof/>
            <w:lang w:eastAsia="ar-SA"/>
          </w:rPr>
          <w:t>Spoljno trgovinska razmjena</w:t>
        </w:r>
        <w:r w:rsidR="0068420F">
          <w:rPr>
            <w:noProof/>
            <w:webHidden/>
          </w:rPr>
          <w:tab/>
        </w:r>
        <w:r w:rsidR="0068420F">
          <w:rPr>
            <w:noProof/>
            <w:webHidden/>
          </w:rPr>
          <w:fldChar w:fldCharType="begin"/>
        </w:r>
        <w:r w:rsidR="0068420F">
          <w:rPr>
            <w:noProof/>
            <w:webHidden/>
          </w:rPr>
          <w:instrText xml:space="preserve"> PAGEREF _Toc500140007 \h </w:instrText>
        </w:r>
        <w:r w:rsidR="0068420F">
          <w:rPr>
            <w:noProof/>
            <w:webHidden/>
          </w:rPr>
        </w:r>
        <w:r w:rsidR="0068420F">
          <w:rPr>
            <w:noProof/>
            <w:webHidden/>
          </w:rPr>
          <w:fldChar w:fldCharType="separate"/>
        </w:r>
        <w:r w:rsidR="0068420F">
          <w:rPr>
            <w:noProof/>
            <w:webHidden/>
          </w:rPr>
          <w:t>14</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08" w:history="1">
        <w:r w:rsidR="0068420F" w:rsidRPr="009C6430">
          <w:rPr>
            <w:rStyle w:val="Hyperlink"/>
            <w:noProof/>
            <w:lang w:val="hr-HR" w:eastAsia="ar-SA"/>
          </w:rPr>
          <w:t>Poljoprivreda</w:t>
        </w:r>
        <w:r w:rsidR="0068420F">
          <w:rPr>
            <w:noProof/>
            <w:webHidden/>
          </w:rPr>
          <w:tab/>
        </w:r>
        <w:r w:rsidR="0068420F">
          <w:rPr>
            <w:noProof/>
            <w:webHidden/>
          </w:rPr>
          <w:fldChar w:fldCharType="begin"/>
        </w:r>
        <w:r w:rsidR="0068420F">
          <w:rPr>
            <w:noProof/>
            <w:webHidden/>
          </w:rPr>
          <w:instrText xml:space="preserve"> PAGEREF _Toc500140008 \h </w:instrText>
        </w:r>
        <w:r w:rsidR="0068420F">
          <w:rPr>
            <w:noProof/>
            <w:webHidden/>
          </w:rPr>
        </w:r>
        <w:r w:rsidR="0068420F">
          <w:rPr>
            <w:noProof/>
            <w:webHidden/>
          </w:rPr>
          <w:fldChar w:fldCharType="separate"/>
        </w:r>
        <w:r w:rsidR="0068420F">
          <w:rPr>
            <w:noProof/>
            <w:webHidden/>
          </w:rPr>
          <w:t>15</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09" w:history="1">
        <w:r w:rsidR="0068420F" w:rsidRPr="009C6430">
          <w:rPr>
            <w:rStyle w:val="Hyperlink"/>
            <w:noProof/>
            <w:lang w:val="hr-HR" w:eastAsia="hr-HR" w:bidi="hr-HR"/>
          </w:rPr>
          <w:t>Stočarstvo</w:t>
        </w:r>
        <w:r w:rsidR="0068420F">
          <w:rPr>
            <w:noProof/>
            <w:webHidden/>
          </w:rPr>
          <w:tab/>
        </w:r>
        <w:r w:rsidR="0068420F">
          <w:rPr>
            <w:noProof/>
            <w:webHidden/>
          </w:rPr>
          <w:fldChar w:fldCharType="begin"/>
        </w:r>
        <w:r w:rsidR="0068420F">
          <w:rPr>
            <w:noProof/>
            <w:webHidden/>
          </w:rPr>
          <w:instrText xml:space="preserve"> PAGEREF _Toc500140009 \h </w:instrText>
        </w:r>
        <w:r w:rsidR="0068420F">
          <w:rPr>
            <w:noProof/>
            <w:webHidden/>
          </w:rPr>
        </w:r>
        <w:r w:rsidR="0068420F">
          <w:rPr>
            <w:noProof/>
            <w:webHidden/>
          </w:rPr>
          <w:fldChar w:fldCharType="separate"/>
        </w:r>
        <w:r w:rsidR="0068420F">
          <w:rPr>
            <w:noProof/>
            <w:webHidden/>
          </w:rPr>
          <w:t>16</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10" w:history="1">
        <w:r w:rsidR="0068420F" w:rsidRPr="009C6430">
          <w:rPr>
            <w:rStyle w:val="Hyperlink"/>
            <w:noProof/>
            <w:lang w:val="hr-HR" w:eastAsia="hr-HR" w:bidi="hr-HR"/>
          </w:rPr>
          <w:t>Voćarstvo</w:t>
        </w:r>
        <w:r w:rsidR="0068420F">
          <w:rPr>
            <w:noProof/>
            <w:webHidden/>
          </w:rPr>
          <w:tab/>
        </w:r>
        <w:r w:rsidR="0068420F">
          <w:rPr>
            <w:noProof/>
            <w:webHidden/>
          </w:rPr>
          <w:fldChar w:fldCharType="begin"/>
        </w:r>
        <w:r w:rsidR="0068420F">
          <w:rPr>
            <w:noProof/>
            <w:webHidden/>
          </w:rPr>
          <w:instrText xml:space="preserve"> PAGEREF _Toc500140010 \h </w:instrText>
        </w:r>
        <w:r w:rsidR="0068420F">
          <w:rPr>
            <w:noProof/>
            <w:webHidden/>
          </w:rPr>
        </w:r>
        <w:r w:rsidR="0068420F">
          <w:rPr>
            <w:noProof/>
            <w:webHidden/>
          </w:rPr>
          <w:fldChar w:fldCharType="separate"/>
        </w:r>
        <w:r w:rsidR="0068420F">
          <w:rPr>
            <w:noProof/>
            <w:webHidden/>
          </w:rPr>
          <w:t>17</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11" w:history="1">
        <w:r w:rsidR="0068420F" w:rsidRPr="009C6430">
          <w:rPr>
            <w:rStyle w:val="Hyperlink"/>
            <w:noProof/>
            <w:lang w:val="hr-HR" w:eastAsia="hr-HR" w:bidi="hr-HR"/>
          </w:rPr>
          <w:t>Ratarstvo</w:t>
        </w:r>
        <w:r w:rsidR="0068420F">
          <w:rPr>
            <w:noProof/>
            <w:webHidden/>
          </w:rPr>
          <w:tab/>
        </w:r>
        <w:r w:rsidR="0068420F">
          <w:rPr>
            <w:noProof/>
            <w:webHidden/>
          </w:rPr>
          <w:fldChar w:fldCharType="begin"/>
        </w:r>
        <w:r w:rsidR="0068420F">
          <w:rPr>
            <w:noProof/>
            <w:webHidden/>
          </w:rPr>
          <w:instrText xml:space="preserve"> PAGEREF _Toc500140011 \h </w:instrText>
        </w:r>
        <w:r w:rsidR="0068420F">
          <w:rPr>
            <w:noProof/>
            <w:webHidden/>
          </w:rPr>
        </w:r>
        <w:r w:rsidR="0068420F">
          <w:rPr>
            <w:noProof/>
            <w:webHidden/>
          </w:rPr>
          <w:fldChar w:fldCharType="separate"/>
        </w:r>
        <w:r w:rsidR="0068420F">
          <w:rPr>
            <w:noProof/>
            <w:webHidden/>
          </w:rPr>
          <w:t>17</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12" w:history="1">
        <w:r w:rsidR="0068420F" w:rsidRPr="009C6430">
          <w:rPr>
            <w:rStyle w:val="Hyperlink"/>
            <w:noProof/>
            <w:lang w:val="hr-HR" w:eastAsia="hr-HR" w:bidi="hr-HR"/>
          </w:rPr>
          <w:t>Poticaji u primarnoj poljoprivrednoj proizvodnji</w:t>
        </w:r>
        <w:r w:rsidR="0068420F">
          <w:rPr>
            <w:noProof/>
            <w:webHidden/>
          </w:rPr>
          <w:tab/>
        </w:r>
        <w:r w:rsidR="0068420F">
          <w:rPr>
            <w:noProof/>
            <w:webHidden/>
          </w:rPr>
          <w:fldChar w:fldCharType="begin"/>
        </w:r>
        <w:r w:rsidR="0068420F">
          <w:rPr>
            <w:noProof/>
            <w:webHidden/>
          </w:rPr>
          <w:instrText xml:space="preserve"> PAGEREF _Toc500140012 \h </w:instrText>
        </w:r>
        <w:r w:rsidR="0068420F">
          <w:rPr>
            <w:noProof/>
            <w:webHidden/>
          </w:rPr>
        </w:r>
        <w:r w:rsidR="0068420F">
          <w:rPr>
            <w:noProof/>
            <w:webHidden/>
          </w:rPr>
          <w:fldChar w:fldCharType="separate"/>
        </w:r>
        <w:r w:rsidR="0068420F">
          <w:rPr>
            <w:noProof/>
            <w:webHidden/>
          </w:rPr>
          <w:t>18</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13" w:history="1">
        <w:r w:rsidR="0068420F" w:rsidRPr="009C6430">
          <w:rPr>
            <w:rStyle w:val="Hyperlink"/>
            <w:noProof/>
            <w:lang w:val="hr-HR" w:eastAsia="ar-SA"/>
          </w:rPr>
          <w:t>Tržište rada</w:t>
        </w:r>
        <w:r w:rsidR="0068420F">
          <w:rPr>
            <w:noProof/>
            <w:webHidden/>
          </w:rPr>
          <w:tab/>
        </w:r>
        <w:r w:rsidR="0068420F">
          <w:rPr>
            <w:noProof/>
            <w:webHidden/>
          </w:rPr>
          <w:fldChar w:fldCharType="begin"/>
        </w:r>
        <w:r w:rsidR="0068420F">
          <w:rPr>
            <w:noProof/>
            <w:webHidden/>
          </w:rPr>
          <w:instrText xml:space="preserve"> PAGEREF _Toc500140013 \h </w:instrText>
        </w:r>
        <w:r w:rsidR="0068420F">
          <w:rPr>
            <w:noProof/>
            <w:webHidden/>
          </w:rPr>
        </w:r>
        <w:r w:rsidR="0068420F">
          <w:rPr>
            <w:noProof/>
            <w:webHidden/>
          </w:rPr>
          <w:fldChar w:fldCharType="separate"/>
        </w:r>
        <w:r w:rsidR="0068420F">
          <w:rPr>
            <w:noProof/>
            <w:webHidden/>
          </w:rPr>
          <w:t>20</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14" w:history="1">
        <w:r w:rsidR="0068420F" w:rsidRPr="009C6430">
          <w:rPr>
            <w:rStyle w:val="Hyperlink"/>
            <w:noProof/>
          </w:rPr>
          <w:t>Turizam</w:t>
        </w:r>
        <w:r w:rsidR="0068420F">
          <w:rPr>
            <w:noProof/>
            <w:webHidden/>
          </w:rPr>
          <w:tab/>
        </w:r>
        <w:r w:rsidR="0068420F">
          <w:rPr>
            <w:noProof/>
            <w:webHidden/>
          </w:rPr>
          <w:fldChar w:fldCharType="begin"/>
        </w:r>
        <w:r w:rsidR="0068420F">
          <w:rPr>
            <w:noProof/>
            <w:webHidden/>
          </w:rPr>
          <w:instrText xml:space="preserve"> PAGEREF _Toc500140014 \h </w:instrText>
        </w:r>
        <w:r w:rsidR="0068420F">
          <w:rPr>
            <w:noProof/>
            <w:webHidden/>
          </w:rPr>
        </w:r>
        <w:r w:rsidR="0068420F">
          <w:rPr>
            <w:noProof/>
            <w:webHidden/>
          </w:rPr>
          <w:fldChar w:fldCharType="separate"/>
        </w:r>
        <w:r w:rsidR="0068420F">
          <w:rPr>
            <w:noProof/>
            <w:webHidden/>
          </w:rPr>
          <w:t>23</w:t>
        </w:r>
        <w:r w:rsidR="0068420F">
          <w:rPr>
            <w:noProof/>
            <w:webHidden/>
          </w:rPr>
          <w:fldChar w:fldCharType="end"/>
        </w:r>
      </w:hyperlink>
    </w:p>
    <w:p w:rsidR="0068420F" w:rsidRDefault="008E424D">
      <w:pPr>
        <w:pStyle w:val="TOC3"/>
        <w:tabs>
          <w:tab w:val="right" w:leader="dot" w:pos="9060"/>
        </w:tabs>
        <w:rPr>
          <w:rFonts w:asciiTheme="minorHAnsi" w:eastAsiaTheme="minorEastAsia" w:hAnsiTheme="minorHAnsi" w:cstheme="minorBidi"/>
          <w:noProof/>
          <w:lang w:val="en-US"/>
        </w:rPr>
      </w:pPr>
      <w:hyperlink w:anchor="_Toc500140015" w:history="1">
        <w:r w:rsidR="0068420F" w:rsidRPr="009C6430">
          <w:rPr>
            <w:rStyle w:val="Hyperlink"/>
            <w:noProof/>
          </w:rPr>
          <w:t>IV1.4. Društveni razvoj</w:t>
        </w:r>
        <w:r w:rsidR="0068420F">
          <w:rPr>
            <w:noProof/>
            <w:webHidden/>
          </w:rPr>
          <w:tab/>
        </w:r>
        <w:r w:rsidR="0068420F">
          <w:rPr>
            <w:noProof/>
            <w:webHidden/>
          </w:rPr>
          <w:fldChar w:fldCharType="begin"/>
        </w:r>
        <w:r w:rsidR="0068420F">
          <w:rPr>
            <w:noProof/>
            <w:webHidden/>
          </w:rPr>
          <w:instrText xml:space="preserve"> PAGEREF _Toc500140015 \h </w:instrText>
        </w:r>
        <w:r w:rsidR="0068420F">
          <w:rPr>
            <w:noProof/>
            <w:webHidden/>
          </w:rPr>
        </w:r>
        <w:r w:rsidR="0068420F">
          <w:rPr>
            <w:noProof/>
            <w:webHidden/>
          </w:rPr>
          <w:fldChar w:fldCharType="separate"/>
        </w:r>
        <w:r w:rsidR="0068420F">
          <w:rPr>
            <w:noProof/>
            <w:webHidden/>
          </w:rPr>
          <w:t>24</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16" w:history="1">
        <w:r w:rsidR="0068420F" w:rsidRPr="009C6430">
          <w:rPr>
            <w:rStyle w:val="Hyperlink"/>
            <w:noProof/>
            <w:lang w:val="hr-HR"/>
          </w:rPr>
          <w:t>Općinska uprava</w:t>
        </w:r>
        <w:r w:rsidR="0068420F">
          <w:rPr>
            <w:noProof/>
            <w:webHidden/>
          </w:rPr>
          <w:tab/>
        </w:r>
        <w:r w:rsidR="0068420F">
          <w:rPr>
            <w:noProof/>
            <w:webHidden/>
          </w:rPr>
          <w:fldChar w:fldCharType="begin"/>
        </w:r>
        <w:r w:rsidR="0068420F">
          <w:rPr>
            <w:noProof/>
            <w:webHidden/>
          </w:rPr>
          <w:instrText xml:space="preserve"> PAGEREF _Toc500140016 \h </w:instrText>
        </w:r>
        <w:r w:rsidR="0068420F">
          <w:rPr>
            <w:noProof/>
            <w:webHidden/>
          </w:rPr>
        </w:r>
        <w:r w:rsidR="0068420F">
          <w:rPr>
            <w:noProof/>
            <w:webHidden/>
          </w:rPr>
          <w:fldChar w:fldCharType="separate"/>
        </w:r>
        <w:r w:rsidR="0068420F">
          <w:rPr>
            <w:noProof/>
            <w:webHidden/>
          </w:rPr>
          <w:t>24</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17" w:history="1">
        <w:r w:rsidR="0068420F" w:rsidRPr="009C6430">
          <w:rPr>
            <w:rStyle w:val="Hyperlink"/>
            <w:noProof/>
            <w:lang w:val="hr-HR"/>
          </w:rPr>
          <w:t>Informiranje i učešće građana u javnim poslovima</w:t>
        </w:r>
        <w:r w:rsidR="0068420F">
          <w:rPr>
            <w:noProof/>
            <w:webHidden/>
          </w:rPr>
          <w:tab/>
        </w:r>
        <w:r w:rsidR="0068420F">
          <w:rPr>
            <w:noProof/>
            <w:webHidden/>
          </w:rPr>
          <w:fldChar w:fldCharType="begin"/>
        </w:r>
        <w:r w:rsidR="0068420F">
          <w:rPr>
            <w:noProof/>
            <w:webHidden/>
          </w:rPr>
          <w:instrText xml:space="preserve"> PAGEREF _Toc500140017 \h </w:instrText>
        </w:r>
        <w:r w:rsidR="0068420F">
          <w:rPr>
            <w:noProof/>
            <w:webHidden/>
          </w:rPr>
        </w:r>
        <w:r w:rsidR="0068420F">
          <w:rPr>
            <w:noProof/>
            <w:webHidden/>
          </w:rPr>
          <w:fldChar w:fldCharType="separate"/>
        </w:r>
        <w:r w:rsidR="0068420F">
          <w:rPr>
            <w:noProof/>
            <w:webHidden/>
          </w:rPr>
          <w:t>25</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18" w:history="1">
        <w:r w:rsidR="0068420F" w:rsidRPr="009C6430">
          <w:rPr>
            <w:rStyle w:val="Hyperlink"/>
            <w:noProof/>
            <w:lang w:val="hr-HR"/>
          </w:rPr>
          <w:t>Socijalna zaštita</w:t>
        </w:r>
        <w:r w:rsidR="0068420F">
          <w:rPr>
            <w:noProof/>
            <w:webHidden/>
          </w:rPr>
          <w:tab/>
        </w:r>
        <w:r w:rsidR="0068420F">
          <w:rPr>
            <w:noProof/>
            <w:webHidden/>
          </w:rPr>
          <w:fldChar w:fldCharType="begin"/>
        </w:r>
        <w:r w:rsidR="0068420F">
          <w:rPr>
            <w:noProof/>
            <w:webHidden/>
          </w:rPr>
          <w:instrText xml:space="preserve"> PAGEREF _Toc500140018 \h </w:instrText>
        </w:r>
        <w:r w:rsidR="0068420F">
          <w:rPr>
            <w:noProof/>
            <w:webHidden/>
          </w:rPr>
        </w:r>
        <w:r w:rsidR="0068420F">
          <w:rPr>
            <w:noProof/>
            <w:webHidden/>
          </w:rPr>
          <w:fldChar w:fldCharType="separate"/>
        </w:r>
        <w:r w:rsidR="0068420F">
          <w:rPr>
            <w:noProof/>
            <w:webHidden/>
          </w:rPr>
          <w:t>26</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19" w:history="1">
        <w:r w:rsidR="0068420F" w:rsidRPr="009C6430">
          <w:rPr>
            <w:rStyle w:val="Hyperlink"/>
            <w:noProof/>
            <w:lang w:val="hr-HR"/>
          </w:rPr>
          <w:t>Zdravstvena zaštita</w:t>
        </w:r>
        <w:r w:rsidR="0068420F">
          <w:rPr>
            <w:noProof/>
            <w:webHidden/>
          </w:rPr>
          <w:tab/>
        </w:r>
        <w:r w:rsidR="0068420F">
          <w:rPr>
            <w:noProof/>
            <w:webHidden/>
          </w:rPr>
          <w:fldChar w:fldCharType="begin"/>
        </w:r>
        <w:r w:rsidR="0068420F">
          <w:rPr>
            <w:noProof/>
            <w:webHidden/>
          </w:rPr>
          <w:instrText xml:space="preserve"> PAGEREF _Toc500140019 \h </w:instrText>
        </w:r>
        <w:r w:rsidR="0068420F">
          <w:rPr>
            <w:noProof/>
            <w:webHidden/>
          </w:rPr>
        </w:r>
        <w:r w:rsidR="0068420F">
          <w:rPr>
            <w:noProof/>
            <w:webHidden/>
          </w:rPr>
          <w:fldChar w:fldCharType="separate"/>
        </w:r>
        <w:r w:rsidR="0068420F">
          <w:rPr>
            <w:noProof/>
            <w:webHidden/>
          </w:rPr>
          <w:t>29</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20" w:history="1">
        <w:r w:rsidR="0068420F" w:rsidRPr="009C6430">
          <w:rPr>
            <w:rStyle w:val="Hyperlink"/>
            <w:noProof/>
            <w:lang w:val="hr-HR"/>
          </w:rPr>
          <w:t>Obrazovanje</w:t>
        </w:r>
        <w:r w:rsidR="0068420F">
          <w:rPr>
            <w:noProof/>
            <w:webHidden/>
          </w:rPr>
          <w:tab/>
        </w:r>
        <w:r w:rsidR="0068420F">
          <w:rPr>
            <w:noProof/>
            <w:webHidden/>
          </w:rPr>
          <w:fldChar w:fldCharType="begin"/>
        </w:r>
        <w:r w:rsidR="0068420F">
          <w:rPr>
            <w:noProof/>
            <w:webHidden/>
          </w:rPr>
          <w:instrText xml:space="preserve"> PAGEREF _Toc500140020 \h </w:instrText>
        </w:r>
        <w:r w:rsidR="0068420F">
          <w:rPr>
            <w:noProof/>
            <w:webHidden/>
          </w:rPr>
        </w:r>
        <w:r w:rsidR="0068420F">
          <w:rPr>
            <w:noProof/>
            <w:webHidden/>
          </w:rPr>
          <w:fldChar w:fldCharType="separate"/>
        </w:r>
        <w:r w:rsidR="0068420F">
          <w:rPr>
            <w:noProof/>
            <w:webHidden/>
          </w:rPr>
          <w:t>31</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21" w:history="1">
        <w:r w:rsidR="0068420F" w:rsidRPr="009C6430">
          <w:rPr>
            <w:rStyle w:val="Hyperlink"/>
            <w:noProof/>
          </w:rPr>
          <w:t>Stanje kriminaliteta</w:t>
        </w:r>
        <w:r w:rsidR="0068420F">
          <w:rPr>
            <w:noProof/>
            <w:webHidden/>
          </w:rPr>
          <w:tab/>
        </w:r>
        <w:r w:rsidR="0068420F">
          <w:rPr>
            <w:noProof/>
            <w:webHidden/>
          </w:rPr>
          <w:fldChar w:fldCharType="begin"/>
        </w:r>
        <w:r w:rsidR="0068420F">
          <w:rPr>
            <w:noProof/>
            <w:webHidden/>
          </w:rPr>
          <w:instrText xml:space="preserve"> PAGEREF _Toc500140021 \h </w:instrText>
        </w:r>
        <w:r w:rsidR="0068420F">
          <w:rPr>
            <w:noProof/>
            <w:webHidden/>
          </w:rPr>
        </w:r>
        <w:r w:rsidR="0068420F">
          <w:rPr>
            <w:noProof/>
            <w:webHidden/>
          </w:rPr>
          <w:fldChar w:fldCharType="separate"/>
        </w:r>
        <w:r w:rsidR="0068420F">
          <w:rPr>
            <w:noProof/>
            <w:webHidden/>
          </w:rPr>
          <w:t>32</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22" w:history="1">
        <w:r w:rsidR="0068420F" w:rsidRPr="009C6430">
          <w:rPr>
            <w:rStyle w:val="Hyperlink"/>
            <w:noProof/>
            <w:lang w:val="hr-HR"/>
          </w:rPr>
          <w:t>Kultura i sport</w:t>
        </w:r>
        <w:r w:rsidR="0068420F">
          <w:rPr>
            <w:noProof/>
            <w:webHidden/>
          </w:rPr>
          <w:tab/>
        </w:r>
        <w:r w:rsidR="0068420F">
          <w:rPr>
            <w:noProof/>
            <w:webHidden/>
          </w:rPr>
          <w:fldChar w:fldCharType="begin"/>
        </w:r>
        <w:r w:rsidR="0068420F">
          <w:rPr>
            <w:noProof/>
            <w:webHidden/>
          </w:rPr>
          <w:instrText xml:space="preserve"> PAGEREF _Toc500140022 \h </w:instrText>
        </w:r>
        <w:r w:rsidR="0068420F">
          <w:rPr>
            <w:noProof/>
            <w:webHidden/>
          </w:rPr>
        </w:r>
        <w:r w:rsidR="0068420F">
          <w:rPr>
            <w:noProof/>
            <w:webHidden/>
          </w:rPr>
          <w:fldChar w:fldCharType="separate"/>
        </w:r>
        <w:r w:rsidR="0068420F">
          <w:rPr>
            <w:noProof/>
            <w:webHidden/>
          </w:rPr>
          <w:t>33</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23" w:history="1">
        <w:r w:rsidR="0068420F" w:rsidRPr="009C6430">
          <w:rPr>
            <w:rStyle w:val="Hyperlink"/>
            <w:noProof/>
          </w:rPr>
          <w:t>Dijaspora</w:t>
        </w:r>
        <w:r w:rsidR="0068420F">
          <w:rPr>
            <w:noProof/>
            <w:webHidden/>
          </w:rPr>
          <w:tab/>
        </w:r>
        <w:r w:rsidR="0068420F">
          <w:rPr>
            <w:noProof/>
            <w:webHidden/>
          </w:rPr>
          <w:fldChar w:fldCharType="begin"/>
        </w:r>
        <w:r w:rsidR="0068420F">
          <w:rPr>
            <w:noProof/>
            <w:webHidden/>
          </w:rPr>
          <w:instrText xml:space="preserve"> PAGEREF _Toc500140023 \h </w:instrText>
        </w:r>
        <w:r w:rsidR="0068420F">
          <w:rPr>
            <w:noProof/>
            <w:webHidden/>
          </w:rPr>
        </w:r>
        <w:r w:rsidR="0068420F">
          <w:rPr>
            <w:noProof/>
            <w:webHidden/>
          </w:rPr>
          <w:fldChar w:fldCharType="separate"/>
        </w:r>
        <w:r w:rsidR="0068420F">
          <w:rPr>
            <w:noProof/>
            <w:webHidden/>
          </w:rPr>
          <w:t>34</w:t>
        </w:r>
        <w:r w:rsidR="0068420F">
          <w:rPr>
            <w:noProof/>
            <w:webHidden/>
          </w:rPr>
          <w:fldChar w:fldCharType="end"/>
        </w:r>
      </w:hyperlink>
    </w:p>
    <w:p w:rsidR="0068420F" w:rsidRDefault="008E424D">
      <w:pPr>
        <w:pStyle w:val="TOC3"/>
        <w:tabs>
          <w:tab w:val="right" w:leader="dot" w:pos="9060"/>
        </w:tabs>
        <w:rPr>
          <w:rFonts w:asciiTheme="minorHAnsi" w:eastAsiaTheme="minorEastAsia" w:hAnsiTheme="minorHAnsi" w:cstheme="minorBidi"/>
          <w:noProof/>
          <w:lang w:val="en-US"/>
        </w:rPr>
      </w:pPr>
      <w:hyperlink w:anchor="_Toc500140024" w:history="1">
        <w:r w:rsidR="0068420F" w:rsidRPr="009C6430">
          <w:rPr>
            <w:rStyle w:val="Hyperlink"/>
            <w:noProof/>
            <w:lang w:eastAsia="hi-IN" w:bidi="hi-IN"/>
          </w:rPr>
          <w:t>IV1.5. Infrastruktura i zaštita okoliša</w:t>
        </w:r>
        <w:r w:rsidR="0068420F">
          <w:rPr>
            <w:noProof/>
            <w:webHidden/>
          </w:rPr>
          <w:tab/>
        </w:r>
        <w:r w:rsidR="0068420F">
          <w:rPr>
            <w:noProof/>
            <w:webHidden/>
          </w:rPr>
          <w:fldChar w:fldCharType="begin"/>
        </w:r>
        <w:r w:rsidR="0068420F">
          <w:rPr>
            <w:noProof/>
            <w:webHidden/>
          </w:rPr>
          <w:instrText xml:space="preserve"> PAGEREF _Toc500140024 \h </w:instrText>
        </w:r>
        <w:r w:rsidR="0068420F">
          <w:rPr>
            <w:noProof/>
            <w:webHidden/>
          </w:rPr>
        </w:r>
        <w:r w:rsidR="0068420F">
          <w:rPr>
            <w:noProof/>
            <w:webHidden/>
          </w:rPr>
          <w:fldChar w:fldCharType="separate"/>
        </w:r>
        <w:r w:rsidR="0068420F">
          <w:rPr>
            <w:noProof/>
            <w:webHidden/>
          </w:rPr>
          <w:t>34</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25" w:history="1">
        <w:r w:rsidR="0068420F" w:rsidRPr="009C6430">
          <w:rPr>
            <w:rStyle w:val="Hyperlink"/>
            <w:noProof/>
            <w:lang w:val="hr-BA" w:eastAsia="hi-IN" w:bidi="hi-IN"/>
          </w:rPr>
          <w:t>Vodosnabdijevanje</w:t>
        </w:r>
        <w:r w:rsidR="0068420F">
          <w:rPr>
            <w:noProof/>
            <w:webHidden/>
          </w:rPr>
          <w:tab/>
        </w:r>
        <w:r w:rsidR="0068420F">
          <w:rPr>
            <w:noProof/>
            <w:webHidden/>
          </w:rPr>
          <w:fldChar w:fldCharType="begin"/>
        </w:r>
        <w:r w:rsidR="0068420F">
          <w:rPr>
            <w:noProof/>
            <w:webHidden/>
          </w:rPr>
          <w:instrText xml:space="preserve"> PAGEREF _Toc500140025 \h </w:instrText>
        </w:r>
        <w:r w:rsidR="0068420F">
          <w:rPr>
            <w:noProof/>
            <w:webHidden/>
          </w:rPr>
        </w:r>
        <w:r w:rsidR="0068420F">
          <w:rPr>
            <w:noProof/>
            <w:webHidden/>
          </w:rPr>
          <w:fldChar w:fldCharType="separate"/>
        </w:r>
        <w:r w:rsidR="0068420F">
          <w:rPr>
            <w:noProof/>
            <w:webHidden/>
          </w:rPr>
          <w:t>34</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26" w:history="1">
        <w:r w:rsidR="0068420F" w:rsidRPr="009C6430">
          <w:rPr>
            <w:rStyle w:val="Hyperlink"/>
            <w:noProof/>
            <w:lang w:val="hr-HR" w:eastAsia="ar-SA"/>
          </w:rPr>
          <w:t>Odvođenje otpadnih voda</w:t>
        </w:r>
        <w:r w:rsidR="0068420F">
          <w:rPr>
            <w:noProof/>
            <w:webHidden/>
          </w:rPr>
          <w:tab/>
        </w:r>
        <w:r w:rsidR="0068420F">
          <w:rPr>
            <w:noProof/>
            <w:webHidden/>
          </w:rPr>
          <w:fldChar w:fldCharType="begin"/>
        </w:r>
        <w:r w:rsidR="0068420F">
          <w:rPr>
            <w:noProof/>
            <w:webHidden/>
          </w:rPr>
          <w:instrText xml:space="preserve"> PAGEREF _Toc500140026 \h </w:instrText>
        </w:r>
        <w:r w:rsidR="0068420F">
          <w:rPr>
            <w:noProof/>
            <w:webHidden/>
          </w:rPr>
        </w:r>
        <w:r w:rsidR="0068420F">
          <w:rPr>
            <w:noProof/>
            <w:webHidden/>
          </w:rPr>
          <w:fldChar w:fldCharType="separate"/>
        </w:r>
        <w:r w:rsidR="0068420F">
          <w:rPr>
            <w:noProof/>
            <w:webHidden/>
          </w:rPr>
          <w:t>36</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27" w:history="1">
        <w:r w:rsidR="0068420F" w:rsidRPr="009C6430">
          <w:rPr>
            <w:rStyle w:val="Hyperlink"/>
            <w:noProof/>
            <w:lang w:val="hr-HR" w:eastAsia="hi-IN" w:bidi="hi-IN"/>
          </w:rPr>
          <w:t>Elektroenergetska infrastruktura</w:t>
        </w:r>
        <w:r w:rsidR="0068420F">
          <w:rPr>
            <w:noProof/>
            <w:webHidden/>
          </w:rPr>
          <w:tab/>
        </w:r>
        <w:r w:rsidR="0068420F">
          <w:rPr>
            <w:noProof/>
            <w:webHidden/>
          </w:rPr>
          <w:fldChar w:fldCharType="begin"/>
        </w:r>
        <w:r w:rsidR="0068420F">
          <w:rPr>
            <w:noProof/>
            <w:webHidden/>
          </w:rPr>
          <w:instrText xml:space="preserve"> PAGEREF _Toc500140027 \h </w:instrText>
        </w:r>
        <w:r w:rsidR="0068420F">
          <w:rPr>
            <w:noProof/>
            <w:webHidden/>
          </w:rPr>
        </w:r>
        <w:r w:rsidR="0068420F">
          <w:rPr>
            <w:noProof/>
            <w:webHidden/>
          </w:rPr>
          <w:fldChar w:fldCharType="separate"/>
        </w:r>
        <w:r w:rsidR="0068420F">
          <w:rPr>
            <w:noProof/>
            <w:webHidden/>
          </w:rPr>
          <w:t>37</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28" w:history="1">
        <w:r w:rsidR="0068420F" w:rsidRPr="009C6430">
          <w:rPr>
            <w:rStyle w:val="Hyperlink"/>
            <w:noProof/>
            <w:lang w:val="hr-HR" w:eastAsia="ar-SA"/>
          </w:rPr>
          <w:t>Javna rasvjeta</w:t>
        </w:r>
        <w:r w:rsidR="0068420F">
          <w:rPr>
            <w:noProof/>
            <w:webHidden/>
          </w:rPr>
          <w:tab/>
        </w:r>
        <w:r w:rsidR="0068420F">
          <w:rPr>
            <w:noProof/>
            <w:webHidden/>
          </w:rPr>
          <w:fldChar w:fldCharType="begin"/>
        </w:r>
        <w:r w:rsidR="0068420F">
          <w:rPr>
            <w:noProof/>
            <w:webHidden/>
          </w:rPr>
          <w:instrText xml:space="preserve"> PAGEREF _Toc500140028 \h </w:instrText>
        </w:r>
        <w:r w:rsidR="0068420F">
          <w:rPr>
            <w:noProof/>
            <w:webHidden/>
          </w:rPr>
        </w:r>
        <w:r w:rsidR="0068420F">
          <w:rPr>
            <w:noProof/>
            <w:webHidden/>
          </w:rPr>
          <w:fldChar w:fldCharType="separate"/>
        </w:r>
        <w:r w:rsidR="0068420F">
          <w:rPr>
            <w:noProof/>
            <w:webHidden/>
          </w:rPr>
          <w:t>37</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29" w:history="1">
        <w:r w:rsidR="0068420F" w:rsidRPr="009C6430">
          <w:rPr>
            <w:rStyle w:val="Hyperlink"/>
            <w:noProof/>
            <w:lang w:val="hr-HR" w:eastAsia="hi-IN" w:bidi="hi-IN"/>
          </w:rPr>
          <w:t>Obnovljivi izvori energije i energetska efikasnost</w:t>
        </w:r>
        <w:r w:rsidR="0068420F">
          <w:rPr>
            <w:noProof/>
            <w:webHidden/>
          </w:rPr>
          <w:tab/>
        </w:r>
        <w:r w:rsidR="0068420F">
          <w:rPr>
            <w:noProof/>
            <w:webHidden/>
          </w:rPr>
          <w:fldChar w:fldCharType="begin"/>
        </w:r>
        <w:r w:rsidR="0068420F">
          <w:rPr>
            <w:noProof/>
            <w:webHidden/>
          </w:rPr>
          <w:instrText xml:space="preserve"> PAGEREF _Toc500140029 \h </w:instrText>
        </w:r>
        <w:r w:rsidR="0068420F">
          <w:rPr>
            <w:noProof/>
            <w:webHidden/>
          </w:rPr>
        </w:r>
        <w:r w:rsidR="0068420F">
          <w:rPr>
            <w:noProof/>
            <w:webHidden/>
          </w:rPr>
          <w:fldChar w:fldCharType="separate"/>
        </w:r>
        <w:r w:rsidR="0068420F">
          <w:rPr>
            <w:noProof/>
            <w:webHidden/>
          </w:rPr>
          <w:t>38</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30" w:history="1">
        <w:r w:rsidR="0068420F" w:rsidRPr="009C6430">
          <w:rPr>
            <w:rStyle w:val="Hyperlink"/>
            <w:noProof/>
            <w:lang w:val="hr-HR" w:eastAsia="ar-SA"/>
          </w:rPr>
          <w:t>Gasifikacija</w:t>
        </w:r>
        <w:r w:rsidR="0068420F">
          <w:rPr>
            <w:noProof/>
            <w:webHidden/>
          </w:rPr>
          <w:tab/>
        </w:r>
        <w:r w:rsidR="0068420F">
          <w:rPr>
            <w:noProof/>
            <w:webHidden/>
          </w:rPr>
          <w:fldChar w:fldCharType="begin"/>
        </w:r>
        <w:r w:rsidR="0068420F">
          <w:rPr>
            <w:noProof/>
            <w:webHidden/>
          </w:rPr>
          <w:instrText xml:space="preserve"> PAGEREF _Toc500140030 \h </w:instrText>
        </w:r>
        <w:r w:rsidR="0068420F">
          <w:rPr>
            <w:noProof/>
            <w:webHidden/>
          </w:rPr>
        </w:r>
        <w:r w:rsidR="0068420F">
          <w:rPr>
            <w:noProof/>
            <w:webHidden/>
          </w:rPr>
          <w:fldChar w:fldCharType="separate"/>
        </w:r>
        <w:r w:rsidR="0068420F">
          <w:rPr>
            <w:noProof/>
            <w:webHidden/>
          </w:rPr>
          <w:t>39</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31" w:history="1">
        <w:r w:rsidR="0068420F" w:rsidRPr="009C6430">
          <w:rPr>
            <w:rStyle w:val="Hyperlink"/>
            <w:noProof/>
            <w:lang w:val="hr-HR" w:eastAsia="ar-SA"/>
          </w:rPr>
          <w:t>Termoenergetska infrastruktura</w:t>
        </w:r>
        <w:r w:rsidR="0068420F">
          <w:rPr>
            <w:noProof/>
            <w:webHidden/>
          </w:rPr>
          <w:tab/>
        </w:r>
        <w:r w:rsidR="0068420F">
          <w:rPr>
            <w:noProof/>
            <w:webHidden/>
          </w:rPr>
          <w:fldChar w:fldCharType="begin"/>
        </w:r>
        <w:r w:rsidR="0068420F">
          <w:rPr>
            <w:noProof/>
            <w:webHidden/>
          </w:rPr>
          <w:instrText xml:space="preserve"> PAGEREF _Toc500140031 \h </w:instrText>
        </w:r>
        <w:r w:rsidR="0068420F">
          <w:rPr>
            <w:noProof/>
            <w:webHidden/>
          </w:rPr>
        </w:r>
        <w:r w:rsidR="0068420F">
          <w:rPr>
            <w:noProof/>
            <w:webHidden/>
          </w:rPr>
          <w:fldChar w:fldCharType="separate"/>
        </w:r>
        <w:r w:rsidR="0068420F">
          <w:rPr>
            <w:noProof/>
            <w:webHidden/>
          </w:rPr>
          <w:t>39</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32" w:history="1">
        <w:r w:rsidR="0068420F" w:rsidRPr="009C6430">
          <w:rPr>
            <w:rStyle w:val="Hyperlink"/>
            <w:noProof/>
            <w:lang w:val="hr-HR" w:eastAsia="hi-IN" w:bidi="hi-IN"/>
          </w:rPr>
          <w:t>Saobraćaj</w:t>
        </w:r>
        <w:r w:rsidR="0068420F">
          <w:rPr>
            <w:noProof/>
            <w:webHidden/>
          </w:rPr>
          <w:tab/>
        </w:r>
        <w:r w:rsidR="0068420F">
          <w:rPr>
            <w:noProof/>
            <w:webHidden/>
          </w:rPr>
          <w:fldChar w:fldCharType="begin"/>
        </w:r>
        <w:r w:rsidR="0068420F">
          <w:rPr>
            <w:noProof/>
            <w:webHidden/>
          </w:rPr>
          <w:instrText xml:space="preserve"> PAGEREF _Toc500140032 \h </w:instrText>
        </w:r>
        <w:r w:rsidR="0068420F">
          <w:rPr>
            <w:noProof/>
            <w:webHidden/>
          </w:rPr>
        </w:r>
        <w:r w:rsidR="0068420F">
          <w:rPr>
            <w:noProof/>
            <w:webHidden/>
          </w:rPr>
          <w:fldChar w:fldCharType="separate"/>
        </w:r>
        <w:r w:rsidR="0068420F">
          <w:rPr>
            <w:noProof/>
            <w:webHidden/>
          </w:rPr>
          <w:t>39</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33" w:history="1">
        <w:r w:rsidR="0068420F" w:rsidRPr="009C6430">
          <w:rPr>
            <w:rStyle w:val="Hyperlink"/>
            <w:noProof/>
            <w:lang w:val="hr-HR" w:eastAsia="hi-IN" w:bidi="hi-IN"/>
          </w:rPr>
          <w:t>Telekomunikacije, radio veze i infrastrukturna mreža</w:t>
        </w:r>
        <w:r w:rsidR="0068420F">
          <w:rPr>
            <w:noProof/>
            <w:webHidden/>
          </w:rPr>
          <w:tab/>
        </w:r>
        <w:r w:rsidR="0068420F">
          <w:rPr>
            <w:noProof/>
            <w:webHidden/>
          </w:rPr>
          <w:fldChar w:fldCharType="begin"/>
        </w:r>
        <w:r w:rsidR="0068420F">
          <w:rPr>
            <w:noProof/>
            <w:webHidden/>
          </w:rPr>
          <w:instrText xml:space="preserve"> PAGEREF _Toc500140033 \h </w:instrText>
        </w:r>
        <w:r w:rsidR="0068420F">
          <w:rPr>
            <w:noProof/>
            <w:webHidden/>
          </w:rPr>
        </w:r>
        <w:r w:rsidR="0068420F">
          <w:rPr>
            <w:noProof/>
            <w:webHidden/>
          </w:rPr>
          <w:fldChar w:fldCharType="separate"/>
        </w:r>
        <w:r w:rsidR="0068420F">
          <w:rPr>
            <w:noProof/>
            <w:webHidden/>
          </w:rPr>
          <w:t>41</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34" w:history="1">
        <w:r w:rsidR="0068420F" w:rsidRPr="009C6430">
          <w:rPr>
            <w:rStyle w:val="Hyperlink"/>
            <w:noProof/>
            <w:lang w:val="hr-HR" w:eastAsia="ar-SA"/>
          </w:rPr>
          <w:t>Mjere zaštite zraka, vode i tla od zagađivanja</w:t>
        </w:r>
        <w:r w:rsidR="0068420F">
          <w:rPr>
            <w:noProof/>
            <w:webHidden/>
          </w:rPr>
          <w:tab/>
        </w:r>
        <w:r w:rsidR="0068420F">
          <w:rPr>
            <w:noProof/>
            <w:webHidden/>
          </w:rPr>
          <w:fldChar w:fldCharType="begin"/>
        </w:r>
        <w:r w:rsidR="0068420F">
          <w:rPr>
            <w:noProof/>
            <w:webHidden/>
          </w:rPr>
          <w:instrText xml:space="preserve"> PAGEREF _Toc500140034 \h </w:instrText>
        </w:r>
        <w:r w:rsidR="0068420F">
          <w:rPr>
            <w:noProof/>
            <w:webHidden/>
          </w:rPr>
        </w:r>
        <w:r w:rsidR="0068420F">
          <w:rPr>
            <w:noProof/>
            <w:webHidden/>
          </w:rPr>
          <w:fldChar w:fldCharType="separate"/>
        </w:r>
        <w:r w:rsidR="0068420F">
          <w:rPr>
            <w:noProof/>
            <w:webHidden/>
          </w:rPr>
          <w:t>42</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35" w:history="1">
        <w:r w:rsidR="0068420F" w:rsidRPr="009C6430">
          <w:rPr>
            <w:rStyle w:val="Hyperlink"/>
            <w:noProof/>
            <w:lang w:val="hr-HR" w:eastAsia="hi-IN" w:bidi="hi-IN"/>
          </w:rPr>
          <w:t>Sistem zaštite i spašavanja općine Kalesija</w:t>
        </w:r>
        <w:r w:rsidR="0068420F">
          <w:rPr>
            <w:noProof/>
            <w:webHidden/>
          </w:rPr>
          <w:tab/>
        </w:r>
        <w:r w:rsidR="0068420F">
          <w:rPr>
            <w:noProof/>
            <w:webHidden/>
          </w:rPr>
          <w:fldChar w:fldCharType="begin"/>
        </w:r>
        <w:r w:rsidR="0068420F">
          <w:rPr>
            <w:noProof/>
            <w:webHidden/>
          </w:rPr>
          <w:instrText xml:space="preserve"> PAGEREF _Toc500140035 \h </w:instrText>
        </w:r>
        <w:r w:rsidR="0068420F">
          <w:rPr>
            <w:noProof/>
            <w:webHidden/>
          </w:rPr>
        </w:r>
        <w:r w:rsidR="0068420F">
          <w:rPr>
            <w:noProof/>
            <w:webHidden/>
          </w:rPr>
          <w:fldChar w:fldCharType="separate"/>
        </w:r>
        <w:r w:rsidR="0068420F">
          <w:rPr>
            <w:noProof/>
            <w:webHidden/>
          </w:rPr>
          <w:t>42</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36" w:history="1">
        <w:r w:rsidR="0068420F" w:rsidRPr="009C6430">
          <w:rPr>
            <w:rStyle w:val="Hyperlink"/>
            <w:noProof/>
          </w:rPr>
          <w:t>Klizište poplave požari</w:t>
        </w:r>
        <w:r w:rsidR="0068420F">
          <w:rPr>
            <w:noProof/>
            <w:webHidden/>
          </w:rPr>
          <w:tab/>
        </w:r>
        <w:r w:rsidR="0068420F">
          <w:rPr>
            <w:noProof/>
            <w:webHidden/>
          </w:rPr>
          <w:fldChar w:fldCharType="begin"/>
        </w:r>
        <w:r w:rsidR="0068420F">
          <w:rPr>
            <w:noProof/>
            <w:webHidden/>
          </w:rPr>
          <w:instrText xml:space="preserve"> PAGEREF _Toc500140036 \h </w:instrText>
        </w:r>
        <w:r w:rsidR="0068420F">
          <w:rPr>
            <w:noProof/>
            <w:webHidden/>
          </w:rPr>
        </w:r>
        <w:r w:rsidR="0068420F">
          <w:rPr>
            <w:noProof/>
            <w:webHidden/>
          </w:rPr>
          <w:fldChar w:fldCharType="separate"/>
        </w:r>
        <w:r w:rsidR="0068420F">
          <w:rPr>
            <w:noProof/>
            <w:webHidden/>
          </w:rPr>
          <w:t>43</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37" w:history="1">
        <w:r w:rsidR="0068420F" w:rsidRPr="009C6430">
          <w:rPr>
            <w:rStyle w:val="Hyperlink"/>
            <w:noProof/>
          </w:rPr>
          <w:t>Upravljanje čvrstim otpadom</w:t>
        </w:r>
        <w:r w:rsidR="0068420F">
          <w:rPr>
            <w:noProof/>
            <w:webHidden/>
          </w:rPr>
          <w:tab/>
        </w:r>
        <w:r w:rsidR="0068420F">
          <w:rPr>
            <w:noProof/>
            <w:webHidden/>
          </w:rPr>
          <w:fldChar w:fldCharType="begin"/>
        </w:r>
        <w:r w:rsidR="0068420F">
          <w:rPr>
            <w:noProof/>
            <w:webHidden/>
          </w:rPr>
          <w:instrText xml:space="preserve"> PAGEREF _Toc500140037 \h </w:instrText>
        </w:r>
        <w:r w:rsidR="0068420F">
          <w:rPr>
            <w:noProof/>
            <w:webHidden/>
          </w:rPr>
        </w:r>
        <w:r w:rsidR="0068420F">
          <w:rPr>
            <w:noProof/>
            <w:webHidden/>
          </w:rPr>
          <w:fldChar w:fldCharType="separate"/>
        </w:r>
        <w:r w:rsidR="0068420F">
          <w:rPr>
            <w:noProof/>
            <w:webHidden/>
          </w:rPr>
          <w:t>46</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38" w:history="1">
        <w:r w:rsidR="0068420F" w:rsidRPr="009C6430">
          <w:rPr>
            <w:rStyle w:val="Hyperlink"/>
            <w:rFonts w:eastAsia="Calibri, Calibri"/>
            <w:noProof/>
          </w:rPr>
          <w:t>Šumarstvo</w:t>
        </w:r>
        <w:r w:rsidR="0068420F">
          <w:rPr>
            <w:noProof/>
            <w:webHidden/>
          </w:rPr>
          <w:tab/>
        </w:r>
        <w:r w:rsidR="0068420F">
          <w:rPr>
            <w:noProof/>
            <w:webHidden/>
          </w:rPr>
          <w:fldChar w:fldCharType="begin"/>
        </w:r>
        <w:r w:rsidR="0068420F">
          <w:rPr>
            <w:noProof/>
            <w:webHidden/>
          </w:rPr>
          <w:instrText xml:space="preserve"> PAGEREF _Toc500140038 \h </w:instrText>
        </w:r>
        <w:r w:rsidR="0068420F">
          <w:rPr>
            <w:noProof/>
            <w:webHidden/>
          </w:rPr>
        </w:r>
        <w:r w:rsidR="0068420F">
          <w:rPr>
            <w:noProof/>
            <w:webHidden/>
          </w:rPr>
          <w:fldChar w:fldCharType="separate"/>
        </w:r>
        <w:r w:rsidR="0068420F">
          <w:rPr>
            <w:noProof/>
            <w:webHidden/>
          </w:rPr>
          <w:t>46</w:t>
        </w:r>
        <w:r w:rsidR="0068420F">
          <w:rPr>
            <w:noProof/>
            <w:webHidden/>
          </w:rPr>
          <w:fldChar w:fldCharType="end"/>
        </w:r>
      </w:hyperlink>
    </w:p>
    <w:p w:rsidR="0068420F" w:rsidRDefault="008E424D">
      <w:pPr>
        <w:pStyle w:val="TOC3"/>
        <w:tabs>
          <w:tab w:val="right" w:leader="dot" w:pos="9060"/>
        </w:tabs>
        <w:rPr>
          <w:rFonts w:asciiTheme="minorHAnsi" w:eastAsiaTheme="minorEastAsia" w:hAnsiTheme="minorHAnsi" w:cstheme="minorBidi"/>
          <w:noProof/>
          <w:lang w:val="en-US"/>
        </w:rPr>
      </w:pPr>
      <w:hyperlink w:anchor="_Toc500140039" w:history="1">
        <w:r w:rsidR="0068420F" w:rsidRPr="009C6430">
          <w:rPr>
            <w:rStyle w:val="Hyperlink"/>
            <w:noProof/>
            <w:lang w:eastAsia="ar-SA"/>
          </w:rPr>
          <w:t>IV1.6. Procjena finansijskih sredstava za realizaciju projekata iz Strategije</w:t>
        </w:r>
        <w:r w:rsidR="0068420F">
          <w:rPr>
            <w:noProof/>
            <w:webHidden/>
          </w:rPr>
          <w:tab/>
        </w:r>
        <w:r w:rsidR="0068420F">
          <w:rPr>
            <w:noProof/>
            <w:webHidden/>
          </w:rPr>
          <w:fldChar w:fldCharType="begin"/>
        </w:r>
        <w:r w:rsidR="0068420F">
          <w:rPr>
            <w:noProof/>
            <w:webHidden/>
          </w:rPr>
          <w:instrText xml:space="preserve"> PAGEREF _Toc500140039 \h </w:instrText>
        </w:r>
        <w:r w:rsidR="0068420F">
          <w:rPr>
            <w:noProof/>
            <w:webHidden/>
          </w:rPr>
        </w:r>
        <w:r w:rsidR="0068420F">
          <w:rPr>
            <w:noProof/>
            <w:webHidden/>
          </w:rPr>
          <w:fldChar w:fldCharType="separate"/>
        </w:r>
        <w:r w:rsidR="0068420F">
          <w:rPr>
            <w:noProof/>
            <w:webHidden/>
          </w:rPr>
          <w:t>47</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40" w:history="1">
        <w:r w:rsidR="0068420F" w:rsidRPr="009C6430">
          <w:rPr>
            <w:rStyle w:val="Hyperlink"/>
            <w:noProof/>
            <w:lang w:val="hr-HR"/>
          </w:rPr>
          <w:t>Analiza prihoda</w:t>
        </w:r>
        <w:r w:rsidR="0068420F">
          <w:rPr>
            <w:noProof/>
            <w:webHidden/>
          </w:rPr>
          <w:tab/>
        </w:r>
        <w:r w:rsidR="0068420F">
          <w:rPr>
            <w:noProof/>
            <w:webHidden/>
          </w:rPr>
          <w:fldChar w:fldCharType="begin"/>
        </w:r>
        <w:r w:rsidR="0068420F">
          <w:rPr>
            <w:noProof/>
            <w:webHidden/>
          </w:rPr>
          <w:instrText xml:space="preserve"> PAGEREF _Toc500140040 \h </w:instrText>
        </w:r>
        <w:r w:rsidR="0068420F">
          <w:rPr>
            <w:noProof/>
            <w:webHidden/>
          </w:rPr>
        </w:r>
        <w:r w:rsidR="0068420F">
          <w:rPr>
            <w:noProof/>
            <w:webHidden/>
          </w:rPr>
          <w:fldChar w:fldCharType="separate"/>
        </w:r>
        <w:r w:rsidR="0068420F">
          <w:rPr>
            <w:noProof/>
            <w:webHidden/>
          </w:rPr>
          <w:t>47</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41" w:history="1">
        <w:r w:rsidR="0068420F" w:rsidRPr="009C6430">
          <w:rPr>
            <w:rStyle w:val="Hyperlink"/>
            <w:noProof/>
            <w:lang w:val="hr-HR"/>
          </w:rPr>
          <w:t>Analiza rashoda</w:t>
        </w:r>
        <w:r w:rsidR="0068420F">
          <w:rPr>
            <w:noProof/>
            <w:webHidden/>
          </w:rPr>
          <w:tab/>
        </w:r>
        <w:r w:rsidR="0068420F">
          <w:rPr>
            <w:noProof/>
            <w:webHidden/>
          </w:rPr>
          <w:fldChar w:fldCharType="begin"/>
        </w:r>
        <w:r w:rsidR="0068420F">
          <w:rPr>
            <w:noProof/>
            <w:webHidden/>
          </w:rPr>
          <w:instrText xml:space="preserve"> PAGEREF _Toc500140041 \h </w:instrText>
        </w:r>
        <w:r w:rsidR="0068420F">
          <w:rPr>
            <w:noProof/>
            <w:webHidden/>
          </w:rPr>
        </w:r>
        <w:r w:rsidR="0068420F">
          <w:rPr>
            <w:noProof/>
            <w:webHidden/>
          </w:rPr>
          <w:fldChar w:fldCharType="separate"/>
        </w:r>
        <w:r w:rsidR="0068420F">
          <w:rPr>
            <w:noProof/>
            <w:webHidden/>
          </w:rPr>
          <w:t>48</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42" w:history="1">
        <w:r w:rsidR="0068420F" w:rsidRPr="009C6430">
          <w:rPr>
            <w:rStyle w:val="Hyperlink"/>
            <w:noProof/>
            <w:lang w:val="hr-HR"/>
          </w:rPr>
          <w:t>Analiza prihoda i rashoda u periodu 2012-2016. godina</w:t>
        </w:r>
        <w:r w:rsidR="0068420F">
          <w:rPr>
            <w:noProof/>
            <w:webHidden/>
          </w:rPr>
          <w:tab/>
        </w:r>
        <w:r w:rsidR="0068420F">
          <w:rPr>
            <w:noProof/>
            <w:webHidden/>
          </w:rPr>
          <w:fldChar w:fldCharType="begin"/>
        </w:r>
        <w:r w:rsidR="0068420F">
          <w:rPr>
            <w:noProof/>
            <w:webHidden/>
          </w:rPr>
          <w:instrText xml:space="preserve"> PAGEREF _Toc500140042 \h </w:instrText>
        </w:r>
        <w:r w:rsidR="0068420F">
          <w:rPr>
            <w:noProof/>
            <w:webHidden/>
          </w:rPr>
        </w:r>
        <w:r w:rsidR="0068420F">
          <w:rPr>
            <w:noProof/>
            <w:webHidden/>
          </w:rPr>
          <w:fldChar w:fldCharType="separate"/>
        </w:r>
        <w:r w:rsidR="0068420F">
          <w:rPr>
            <w:noProof/>
            <w:webHidden/>
          </w:rPr>
          <w:t>49</w:t>
        </w:r>
        <w:r w:rsidR="0068420F">
          <w:rPr>
            <w:noProof/>
            <w:webHidden/>
          </w:rPr>
          <w:fldChar w:fldCharType="end"/>
        </w:r>
      </w:hyperlink>
    </w:p>
    <w:p w:rsidR="0068420F" w:rsidRDefault="008E424D">
      <w:pPr>
        <w:pStyle w:val="TOC4"/>
        <w:tabs>
          <w:tab w:val="right" w:leader="dot" w:pos="9060"/>
        </w:tabs>
        <w:rPr>
          <w:rFonts w:asciiTheme="minorHAnsi" w:eastAsiaTheme="minorEastAsia" w:hAnsiTheme="minorHAnsi" w:cstheme="minorBidi"/>
          <w:noProof/>
          <w:lang w:val="en-US"/>
        </w:rPr>
      </w:pPr>
      <w:hyperlink w:anchor="_Toc500140043" w:history="1">
        <w:r w:rsidR="0068420F" w:rsidRPr="009C6430">
          <w:rPr>
            <w:rStyle w:val="Hyperlink"/>
            <w:noProof/>
            <w:lang w:eastAsia="ar-SA"/>
          </w:rPr>
          <w:t>Procjena finansijskih sredstava za realizaciju projekata iz Strategije</w:t>
        </w:r>
        <w:r w:rsidR="0068420F">
          <w:rPr>
            <w:noProof/>
            <w:webHidden/>
          </w:rPr>
          <w:tab/>
        </w:r>
        <w:r w:rsidR="0068420F">
          <w:rPr>
            <w:noProof/>
            <w:webHidden/>
          </w:rPr>
          <w:fldChar w:fldCharType="begin"/>
        </w:r>
        <w:r w:rsidR="0068420F">
          <w:rPr>
            <w:noProof/>
            <w:webHidden/>
          </w:rPr>
          <w:instrText xml:space="preserve"> PAGEREF _Toc500140043 \h </w:instrText>
        </w:r>
        <w:r w:rsidR="0068420F">
          <w:rPr>
            <w:noProof/>
            <w:webHidden/>
          </w:rPr>
        </w:r>
        <w:r w:rsidR="0068420F">
          <w:rPr>
            <w:noProof/>
            <w:webHidden/>
          </w:rPr>
          <w:fldChar w:fldCharType="separate"/>
        </w:r>
        <w:r w:rsidR="0068420F">
          <w:rPr>
            <w:noProof/>
            <w:webHidden/>
          </w:rPr>
          <w:t>50</w:t>
        </w:r>
        <w:r w:rsidR="0068420F">
          <w:rPr>
            <w:noProof/>
            <w:webHidden/>
          </w:rPr>
          <w:fldChar w:fldCharType="end"/>
        </w:r>
      </w:hyperlink>
    </w:p>
    <w:p w:rsidR="0068420F" w:rsidRDefault="008E424D">
      <w:pPr>
        <w:pStyle w:val="TOC2"/>
        <w:tabs>
          <w:tab w:val="left" w:pos="960"/>
          <w:tab w:val="right" w:leader="dot" w:pos="9060"/>
        </w:tabs>
        <w:rPr>
          <w:rFonts w:asciiTheme="minorHAnsi" w:eastAsiaTheme="minorEastAsia" w:hAnsiTheme="minorHAnsi" w:cstheme="minorBidi"/>
          <w:noProof/>
          <w:lang w:val="en-US"/>
        </w:rPr>
      </w:pPr>
      <w:hyperlink w:anchor="_Toc500140044" w:history="1">
        <w:r w:rsidR="0068420F" w:rsidRPr="009C6430">
          <w:rPr>
            <w:rStyle w:val="Hyperlink"/>
            <w:noProof/>
          </w:rPr>
          <w:t>IV.2.</w:t>
        </w:r>
        <w:r w:rsidR="0068420F">
          <w:rPr>
            <w:rFonts w:asciiTheme="minorHAnsi" w:eastAsiaTheme="minorEastAsia" w:hAnsiTheme="minorHAnsi" w:cstheme="minorBidi"/>
            <w:noProof/>
            <w:lang w:val="en-US"/>
          </w:rPr>
          <w:tab/>
        </w:r>
        <w:r w:rsidR="0068420F" w:rsidRPr="009C6430">
          <w:rPr>
            <w:rStyle w:val="Hyperlink"/>
            <w:noProof/>
          </w:rPr>
          <w:t>Strateško fokusiranje</w:t>
        </w:r>
        <w:r w:rsidR="0068420F">
          <w:rPr>
            <w:noProof/>
            <w:webHidden/>
          </w:rPr>
          <w:tab/>
        </w:r>
        <w:r w:rsidR="0068420F">
          <w:rPr>
            <w:noProof/>
            <w:webHidden/>
          </w:rPr>
          <w:fldChar w:fldCharType="begin"/>
        </w:r>
        <w:r w:rsidR="0068420F">
          <w:rPr>
            <w:noProof/>
            <w:webHidden/>
          </w:rPr>
          <w:instrText xml:space="preserve"> PAGEREF _Toc500140044 \h </w:instrText>
        </w:r>
        <w:r w:rsidR="0068420F">
          <w:rPr>
            <w:noProof/>
            <w:webHidden/>
          </w:rPr>
        </w:r>
        <w:r w:rsidR="0068420F">
          <w:rPr>
            <w:noProof/>
            <w:webHidden/>
          </w:rPr>
          <w:fldChar w:fldCharType="separate"/>
        </w:r>
        <w:r w:rsidR="0068420F">
          <w:rPr>
            <w:noProof/>
            <w:webHidden/>
          </w:rPr>
          <w:t>51</w:t>
        </w:r>
        <w:r w:rsidR="0068420F">
          <w:rPr>
            <w:noProof/>
            <w:webHidden/>
          </w:rPr>
          <w:fldChar w:fldCharType="end"/>
        </w:r>
      </w:hyperlink>
    </w:p>
    <w:p w:rsidR="0068420F" w:rsidRDefault="008E424D">
      <w:pPr>
        <w:pStyle w:val="TOC2"/>
        <w:tabs>
          <w:tab w:val="left" w:pos="960"/>
          <w:tab w:val="right" w:leader="dot" w:pos="9060"/>
        </w:tabs>
        <w:rPr>
          <w:rFonts w:asciiTheme="minorHAnsi" w:eastAsiaTheme="minorEastAsia" w:hAnsiTheme="minorHAnsi" w:cstheme="minorBidi"/>
          <w:noProof/>
          <w:lang w:val="en-US"/>
        </w:rPr>
      </w:pPr>
      <w:hyperlink w:anchor="_Toc500140045" w:history="1">
        <w:r w:rsidR="0068420F" w:rsidRPr="009C6430">
          <w:rPr>
            <w:rStyle w:val="Hyperlink"/>
            <w:noProof/>
          </w:rPr>
          <w:t>IV.3.</w:t>
        </w:r>
        <w:r w:rsidR="0068420F">
          <w:rPr>
            <w:rFonts w:asciiTheme="minorHAnsi" w:eastAsiaTheme="minorEastAsia" w:hAnsiTheme="minorHAnsi" w:cstheme="minorBidi"/>
            <w:noProof/>
            <w:lang w:val="en-US"/>
          </w:rPr>
          <w:tab/>
        </w:r>
        <w:r w:rsidR="0068420F" w:rsidRPr="009C6430">
          <w:rPr>
            <w:rStyle w:val="Hyperlink"/>
            <w:noProof/>
          </w:rPr>
          <w:t>Vizija i strateški ciljevi razvoja</w:t>
        </w:r>
        <w:r w:rsidR="0068420F">
          <w:rPr>
            <w:noProof/>
            <w:webHidden/>
          </w:rPr>
          <w:tab/>
        </w:r>
        <w:r w:rsidR="0068420F">
          <w:rPr>
            <w:noProof/>
            <w:webHidden/>
          </w:rPr>
          <w:fldChar w:fldCharType="begin"/>
        </w:r>
        <w:r w:rsidR="0068420F">
          <w:rPr>
            <w:noProof/>
            <w:webHidden/>
          </w:rPr>
          <w:instrText xml:space="preserve"> PAGEREF _Toc500140045 \h </w:instrText>
        </w:r>
        <w:r w:rsidR="0068420F">
          <w:rPr>
            <w:noProof/>
            <w:webHidden/>
          </w:rPr>
        </w:r>
        <w:r w:rsidR="0068420F">
          <w:rPr>
            <w:noProof/>
            <w:webHidden/>
          </w:rPr>
          <w:fldChar w:fldCharType="separate"/>
        </w:r>
        <w:r w:rsidR="0068420F">
          <w:rPr>
            <w:noProof/>
            <w:webHidden/>
          </w:rPr>
          <w:t>52</w:t>
        </w:r>
        <w:r w:rsidR="0068420F">
          <w:rPr>
            <w:noProof/>
            <w:webHidden/>
          </w:rPr>
          <w:fldChar w:fldCharType="end"/>
        </w:r>
      </w:hyperlink>
    </w:p>
    <w:p w:rsidR="0068420F" w:rsidRDefault="008E424D">
      <w:pPr>
        <w:pStyle w:val="TOC1"/>
        <w:rPr>
          <w:rFonts w:asciiTheme="minorHAnsi" w:eastAsiaTheme="minorEastAsia" w:hAnsiTheme="minorHAnsi" w:cstheme="minorBidi"/>
          <w:b w:val="0"/>
          <w:noProof/>
          <w:lang w:val="en-US"/>
        </w:rPr>
      </w:pPr>
      <w:hyperlink w:anchor="_Toc500140046" w:history="1">
        <w:r w:rsidR="0068420F" w:rsidRPr="009C6430">
          <w:rPr>
            <w:rStyle w:val="Hyperlink"/>
            <w:noProof/>
          </w:rPr>
          <w:t>V</w:t>
        </w:r>
        <w:r w:rsidR="0068420F">
          <w:rPr>
            <w:rFonts w:asciiTheme="minorHAnsi" w:eastAsiaTheme="minorEastAsia" w:hAnsiTheme="minorHAnsi" w:cstheme="minorBidi"/>
            <w:b w:val="0"/>
            <w:noProof/>
            <w:lang w:val="en-US"/>
          </w:rPr>
          <w:tab/>
        </w:r>
        <w:r w:rsidR="0068420F" w:rsidRPr="009C6430">
          <w:rPr>
            <w:rStyle w:val="Hyperlink"/>
            <w:noProof/>
          </w:rPr>
          <w:t>Sektorski razvojni planovi</w:t>
        </w:r>
        <w:r w:rsidR="0068420F">
          <w:rPr>
            <w:noProof/>
            <w:webHidden/>
          </w:rPr>
          <w:tab/>
        </w:r>
        <w:r w:rsidR="0068420F">
          <w:rPr>
            <w:noProof/>
            <w:webHidden/>
          </w:rPr>
          <w:fldChar w:fldCharType="begin"/>
        </w:r>
        <w:r w:rsidR="0068420F">
          <w:rPr>
            <w:noProof/>
            <w:webHidden/>
          </w:rPr>
          <w:instrText xml:space="preserve"> PAGEREF _Toc500140046 \h </w:instrText>
        </w:r>
        <w:r w:rsidR="0068420F">
          <w:rPr>
            <w:noProof/>
            <w:webHidden/>
          </w:rPr>
        </w:r>
        <w:r w:rsidR="0068420F">
          <w:rPr>
            <w:noProof/>
            <w:webHidden/>
          </w:rPr>
          <w:fldChar w:fldCharType="separate"/>
        </w:r>
        <w:r w:rsidR="0068420F">
          <w:rPr>
            <w:noProof/>
            <w:webHidden/>
          </w:rPr>
          <w:t>55</w:t>
        </w:r>
        <w:r w:rsidR="0068420F">
          <w:rPr>
            <w:noProof/>
            <w:webHidden/>
          </w:rPr>
          <w:fldChar w:fldCharType="end"/>
        </w:r>
      </w:hyperlink>
    </w:p>
    <w:p w:rsidR="0068420F" w:rsidRDefault="008E424D">
      <w:pPr>
        <w:pStyle w:val="TOC2"/>
        <w:tabs>
          <w:tab w:val="right" w:leader="dot" w:pos="9060"/>
        </w:tabs>
        <w:rPr>
          <w:rFonts w:asciiTheme="minorHAnsi" w:eastAsiaTheme="minorEastAsia" w:hAnsiTheme="minorHAnsi" w:cstheme="minorBidi"/>
          <w:noProof/>
          <w:lang w:val="en-US"/>
        </w:rPr>
      </w:pPr>
      <w:hyperlink w:anchor="_Toc500140047" w:history="1">
        <w:r w:rsidR="0068420F" w:rsidRPr="009C6430">
          <w:rPr>
            <w:rStyle w:val="Hyperlink"/>
            <w:noProof/>
          </w:rPr>
          <w:t>V.1. Usklađenost, komplementarnost i međusobni uticaj sektorskih planova</w:t>
        </w:r>
        <w:r w:rsidR="0068420F">
          <w:rPr>
            <w:noProof/>
            <w:webHidden/>
          </w:rPr>
          <w:tab/>
        </w:r>
        <w:r w:rsidR="0068420F">
          <w:rPr>
            <w:noProof/>
            <w:webHidden/>
          </w:rPr>
          <w:fldChar w:fldCharType="begin"/>
        </w:r>
        <w:r w:rsidR="0068420F">
          <w:rPr>
            <w:noProof/>
            <w:webHidden/>
          </w:rPr>
          <w:instrText xml:space="preserve"> PAGEREF _Toc500140047 \h </w:instrText>
        </w:r>
        <w:r w:rsidR="0068420F">
          <w:rPr>
            <w:noProof/>
            <w:webHidden/>
          </w:rPr>
        </w:r>
        <w:r w:rsidR="0068420F">
          <w:rPr>
            <w:noProof/>
            <w:webHidden/>
          </w:rPr>
          <w:fldChar w:fldCharType="separate"/>
        </w:r>
        <w:r w:rsidR="0068420F">
          <w:rPr>
            <w:noProof/>
            <w:webHidden/>
          </w:rPr>
          <w:t>55</w:t>
        </w:r>
        <w:r w:rsidR="0068420F">
          <w:rPr>
            <w:noProof/>
            <w:webHidden/>
          </w:rPr>
          <w:fldChar w:fldCharType="end"/>
        </w:r>
      </w:hyperlink>
    </w:p>
    <w:p w:rsidR="0068420F" w:rsidRDefault="008E424D">
      <w:pPr>
        <w:pStyle w:val="TOC2"/>
        <w:tabs>
          <w:tab w:val="right" w:leader="dot" w:pos="9060"/>
        </w:tabs>
        <w:rPr>
          <w:rFonts w:asciiTheme="minorHAnsi" w:eastAsiaTheme="minorEastAsia" w:hAnsiTheme="minorHAnsi" w:cstheme="minorBidi"/>
          <w:noProof/>
          <w:lang w:val="en-US"/>
        </w:rPr>
      </w:pPr>
      <w:hyperlink w:anchor="_Toc500140048" w:history="1">
        <w:r w:rsidR="0068420F" w:rsidRPr="009C6430">
          <w:rPr>
            <w:rStyle w:val="Hyperlink"/>
            <w:noProof/>
          </w:rPr>
          <w:t>V.2. Plan lokalnog ekonomskog razvoja</w:t>
        </w:r>
        <w:r w:rsidR="0068420F">
          <w:rPr>
            <w:noProof/>
            <w:webHidden/>
          </w:rPr>
          <w:tab/>
        </w:r>
        <w:r w:rsidR="0068420F">
          <w:rPr>
            <w:noProof/>
            <w:webHidden/>
          </w:rPr>
          <w:fldChar w:fldCharType="begin"/>
        </w:r>
        <w:r w:rsidR="0068420F">
          <w:rPr>
            <w:noProof/>
            <w:webHidden/>
          </w:rPr>
          <w:instrText xml:space="preserve"> PAGEREF _Toc500140048 \h </w:instrText>
        </w:r>
        <w:r w:rsidR="0068420F">
          <w:rPr>
            <w:noProof/>
            <w:webHidden/>
          </w:rPr>
        </w:r>
        <w:r w:rsidR="0068420F">
          <w:rPr>
            <w:noProof/>
            <w:webHidden/>
          </w:rPr>
          <w:fldChar w:fldCharType="separate"/>
        </w:r>
        <w:r w:rsidR="0068420F">
          <w:rPr>
            <w:noProof/>
            <w:webHidden/>
          </w:rPr>
          <w:t>55</w:t>
        </w:r>
        <w:r w:rsidR="0068420F">
          <w:rPr>
            <w:noProof/>
            <w:webHidden/>
          </w:rPr>
          <w:fldChar w:fldCharType="end"/>
        </w:r>
      </w:hyperlink>
    </w:p>
    <w:p w:rsidR="0068420F" w:rsidRDefault="008E424D">
      <w:pPr>
        <w:pStyle w:val="TOC3"/>
        <w:tabs>
          <w:tab w:val="left" w:pos="1320"/>
          <w:tab w:val="right" w:leader="dot" w:pos="9060"/>
        </w:tabs>
        <w:rPr>
          <w:rFonts w:asciiTheme="minorHAnsi" w:eastAsiaTheme="minorEastAsia" w:hAnsiTheme="minorHAnsi" w:cstheme="minorBidi"/>
          <w:noProof/>
          <w:lang w:val="en-US"/>
        </w:rPr>
      </w:pPr>
      <w:hyperlink w:anchor="_Toc500140049" w:history="1">
        <w:r w:rsidR="0068420F" w:rsidRPr="009C6430">
          <w:rPr>
            <w:rStyle w:val="Hyperlink"/>
            <w:noProof/>
          </w:rPr>
          <w:t>V.2.1.</w:t>
        </w:r>
        <w:r w:rsidR="0068420F">
          <w:rPr>
            <w:rFonts w:asciiTheme="minorHAnsi" w:eastAsiaTheme="minorEastAsia" w:hAnsiTheme="minorHAnsi" w:cstheme="minorBidi"/>
            <w:noProof/>
            <w:lang w:val="en-US"/>
          </w:rPr>
          <w:tab/>
        </w:r>
        <w:r w:rsidR="0068420F" w:rsidRPr="009C6430">
          <w:rPr>
            <w:rStyle w:val="Hyperlink"/>
            <w:noProof/>
          </w:rPr>
          <w:t>Pregled sektorskih ciljeva sa očekivanim ishodima i indikatorima</w:t>
        </w:r>
        <w:r w:rsidR="0068420F">
          <w:rPr>
            <w:noProof/>
            <w:webHidden/>
          </w:rPr>
          <w:tab/>
        </w:r>
        <w:r w:rsidR="0068420F">
          <w:rPr>
            <w:noProof/>
            <w:webHidden/>
          </w:rPr>
          <w:fldChar w:fldCharType="begin"/>
        </w:r>
        <w:r w:rsidR="0068420F">
          <w:rPr>
            <w:noProof/>
            <w:webHidden/>
          </w:rPr>
          <w:instrText xml:space="preserve"> PAGEREF _Toc500140049 \h </w:instrText>
        </w:r>
        <w:r w:rsidR="0068420F">
          <w:rPr>
            <w:noProof/>
            <w:webHidden/>
          </w:rPr>
        </w:r>
        <w:r w:rsidR="0068420F">
          <w:rPr>
            <w:noProof/>
            <w:webHidden/>
          </w:rPr>
          <w:fldChar w:fldCharType="separate"/>
        </w:r>
        <w:r w:rsidR="0068420F">
          <w:rPr>
            <w:noProof/>
            <w:webHidden/>
          </w:rPr>
          <w:t>55</w:t>
        </w:r>
        <w:r w:rsidR="0068420F">
          <w:rPr>
            <w:noProof/>
            <w:webHidden/>
          </w:rPr>
          <w:fldChar w:fldCharType="end"/>
        </w:r>
      </w:hyperlink>
    </w:p>
    <w:p w:rsidR="0068420F" w:rsidRDefault="008E424D">
      <w:pPr>
        <w:pStyle w:val="TOC3"/>
        <w:tabs>
          <w:tab w:val="right" w:leader="dot" w:pos="9060"/>
        </w:tabs>
        <w:rPr>
          <w:rFonts w:asciiTheme="minorHAnsi" w:eastAsiaTheme="minorEastAsia" w:hAnsiTheme="minorHAnsi" w:cstheme="minorBidi"/>
          <w:noProof/>
          <w:lang w:val="en-US"/>
        </w:rPr>
      </w:pPr>
      <w:hyperlink w:anchor="_Toc500140050" w:history="1">
        <w:r w:rsidR="0068420F" w:rsidRPr="009C6430">
          <w:rPr>
            <w:rStyle w:val="Hyperlink"/>
            <w:noProof/>
          </w:rPr>
          <w:t>V.2.2. Usklađenost sa strateškim dokumentima viših nivoa</w:t>
        </w:r>
        <w:r w:rsidR="0068420F">
          <w:rPr>
            <w:noProof/>
            <w:webHidden/>
          </w:rPr>
          <w:tab/>
        </w:r>
        <w:r w:rsidR="0068420F">
          <w:rPr>
            <w:noProof/>
            <w:webHidden/>
          </w:rPr>
          <w:fldChar w:fldCharType="begin"/>
        </w:r>
        <w:r w:rsidR="0068420F">
          <w:rPr>
            <w:noProof/>
            <w:webHidden/>
          </w:rPr>
          <w:instrText xml:space="preserve"> PAGEREF _Toc500140050 \h </w:instrText>
        </w:r>
        <w:r w:rsidR="0068420F">
          <w:rPr>
            <w:noProof/>
            <w:webHidden/>
          </w:rPr>
        </w:r>
        <w:r w:rsidR="0068420F">
          <w:rPr>
            <w:noProof/>
            <w:webHidden/>
          </w:rPr>
          <w:fldChar w:fldCharType="separate"/>
        </w:r>
        <w:r w:rsidR="0068420F">
          <w:rPr>
            <w:noProof/>
            <w:webHidden/>
          </w:rPr>
          <w:t>56</w:t>
        </w:r>
        <w:r w:rsidR="0068420F">
          <w:rPr>
            <w:noProof/>
            <w:webHidden/>
          </w:rPr>
          <w:fldChar w:fldCharType="end"/>
        </w:r>
      </w:hyperlink>
    </w:p>
    <w:p w:rsidR="0068420F" w:rsidRDefault="008E424D">
      <w:pPr>
        <w:pStyle w:val="TOC3"/>
        <w:tabs>
          <w:tab w:val="right" w:leader="dot" w:pos="9060"/>
        </w:tabs>
        <w:rPr>
          <w:rFonts w:asciiTheme="minorHAnsi" w:eastAsiaTheme="minorEastAsia" w:hAnsiTheme="minorHAnsi" w:cstheme="minorBidi"/>
          <w:noProof/>
          <w:lang w:val="en-US"/>
        </w:rPr>
      </w:pPr>
      <w:hyperlink w:anchor="_Toc500140051" w:history="1">
        <w:r w:rsidR="0068420F" w:rsidRPr="009C6430">
          <w:rPr>
            <w:rStyle w:val="Hyperlink"/>
            <w:noProof/>
          </w:rPr>
          <w:t>V.2.3. Inicijative međuopćinske saradnje</w:t>
        </w:r>
        <w:r w:rsidR="0068420F">
          <w:rPr>
            <w:noProof/>
            <w:webHidden/>
          </w:rPr>
          <w:tab/>
        </w:r>
        <w:r w:rsidR="0068420F">
          <w:rPr>
            <w:noProof/>
            <w:webHidden/>
          </w:rPr>
          <w:fldChar w:fldCharType="begin"/>
        </w:r>
        <w:r w:rsidR="0068420F">
          <w:rPr>
            <w:noProof/>
            <w:webHidden/>
          </w:rPr>
          <w:instrText xml:space="preserve"> PAGEREF _Toc500140051 \h </w:instrText>
        </w:r>
        <w:r w:rsidR="0068420F">
          <w:rPr>
            <w:noProof/>
            <w:webHidden/>
          </w:rPr>
        </w:r>
        <w:r w:rsidR="0068420F">
          <w:rPr>
            <w:noProof/>
            <w:webHidden/>
          </w:rPr>
          <w:fldChar w:fldCharType="separate"/>
        </w:r>
        <w:r w:rsidR="0068420F">
          <w:rPr>
            <w:noProof/>
            <w:webHidden/>
          </w:rPr>
          <w:t>56</w:t>
        </w:r>
        <w:r w:rsidR="0068420F">
          <w:rPr>
            <w:noProof/>
            <w:webHidden/>
          </w:rPr>
          <w:fldChar w:fldCharType="end"/>
        </w:r>
      </w:hyperlink>
    </w:p>
    <w:p w:rsidR="0068420F" w:rsidRDefault="008E424D">
      <w:pPr>
        <w:pStyle w:val="TOC3"/>
        <w:tabs>
          <w:tab w:val="left" w:pos="1320"/>
          <w:tab w:val="right" w:leader="dot" w:pos="9060"/>
        </w:tabs>
        <w:rPr>
          <w:rFonts w:asciiTheme="minorHAnsi" w:eastAsiaTheme="minorEastAsia" w:hAnsiTheme="minorHAnsi" w:cstheme="minorBidi"/>
          <w:noProof/>
          <w:lang w:val="en-US"/>
        </w:rPr>
      </w:pPr>
      <w:hyperlink w:anchor="_Toc500140052" w:history="1">
        <w:r w:rsidR="0068420F" w:rsidRPr="009C6430">
          <w:rPr>
            <w:rStyle w:val="Hyperlink"/>
            <w:noProof/>
          </w:rPr>
          <w:t>V.2.4.</w:t>
        </w:r>
        <w:r w:rsidR="0068420F">
          <w:rPr>
            <w:rFonts w:asciiTheme="minorHAnsi" w:eastAsiaTheme="minorEastAsia" w:hAnsiTheme="minorHAnsi" w:cstheme="minorBidi"/>
            <w:noProof/>
            <w:lang w:val="en-US"/>
          </w:rPr>
          <w:tab/>
        </w:r>
        <w:r w:rsidR="0068420F" w:rsidRPr="009C6430">
          <w:rPr>
            <w:rStyle w:val="Hyperlink"/>
            <w:noProof/>
          </w:rPr>
          <w:t>Programi, projekti i mjere</w:t>
        </w:r>
        <w:r w:rsidR="0068420F">
          <w:rPr>
            <w:noProof/>
            <w:webHidden/>
          </w:rPr>
          <w:tab/>
        </w:r>
        <w:r w:rsidR="0068420F">
          <w:rPr>
            <w:noProof/>
            <w:webHidden/>
          </w:rPr>
          <w:fldChar w:fldCharType="begin"/>
        </w:r>
        <w:r w:rsidR="0068420F">
          <w:rPr>
            <w:noProof/>
            <w:webHidden/>
          </w:rPr>
          <w:instrText xml:space="preserve"> PAGEREF _Toc500140052 \h </w:instrText>
        </w:r>
        <w:r w:rsidR="0068420F">
          <w:rPr>
            <w:noProof/>
            <w:webHidden/>
          </w:rPr>
        </w:r>
        <w:r w:rsidR="0068420F">
          <w:rPr>
            <w:noProof/>
            <w:webHidden/>
          </w:rPr>
          <w:fldChar w:fldCharType="separate"/>
        </w:r>
        <w:r w:rsidR="0068420F">
          <w:rPr>
            <w:noProof/>
            <w:webHidden/>
          </w:rPr>
          <w:t>56</w:t>
        </w:r>
        <w:r w:rsidR="0068420F">
          <w:rPr>
            <w:noProof/>
            <w:webHidden/>
          </w:rPr>
          <w:fldChar w:fldCharType="end"/>
        </w:r>
      </w:hyperlink>
    </w:p>
    <w:p w:rsidR="0068420F" w:rsidRDefault="008E424D">
      <w:pPr>
        <w:pStyle w:val="TOC2"/>
        <w:tabs>
          <w:tab w:val="left" w:pos="960"/>
          <w:tab w:val="right" w:leader="dot" w:pos="9060"/>
        </w:tabs>
        <w:rPr>
          <w:rFonts w:asciiTheme="minorHAnsi" w:eastAsiaTheme="minorEastAsia" w:hAnsiTheme="minorHAnsi" w:cstheme="minorBidi"/>
          <w:noProof/>
          <w:lang w:val="en-US"/>
        </w:rPr>
      </w:pPr>
      <w:hyperlink w:anchor="_Toc500140053" w:history="1">
        <w:r w:rsidR="0068420F" w:rsidRPr="009C6430">
          <w:rPr>
            <w:rStyle w:val="Hyperlink"/>
            <w:noProof/>
          </w:rPr>
          <w:t>V.2.</w:t>
        </w:r>
        <w:r w:rsidR="0068420F">
          <w:rPr>
            <w:rFonts w:asciiTheme="minorHAnsi" w:eastAsiaTheme="minorEastAsia" w:hAnsiTheme="minorHAnsi" w:cstheme="minorBidi"/>
            <w:noProof/>
            <w:lang w:val="en-US"/>
          </w:rPr>
          <w:tab/>
        </w:r>
        <w:r w:rsidR="0068420F" w:rsidRPr="009C6430">
          <w:rPr>
            <w:rStyle w:val="Hyperlink"/>
            <w:noProof/>
          </w:rPr>
          <w:t>Plan društvenog razvoja</w:t>
        </w:r>
        <w:r w:rsidR="0068420F">
          <w:rPr>
            <w:noProof/>
            <w:webHidden/>
          </w:rPr>
          <w:tab/>
        </w:r>
        <w:r w:rsidR="0068420F">
          <w:rPr>
            <w:noProof/>
            <w:webHidden/>
          </w:rPr>
          <w:fldChar w:fldCharType="begin"/>
        </w:r>
        <w:r w:rsidR="0068420F">
          <w:rPr>
            <w:noProof/>
            <w:webHidden/>
          </w:rPr>
          <w:instrText xml:space="preserve"> PAGEREF _Toc500140053 \h </w:instrText>
        </w:r>
        <w:r w:rsidR="0068420F">
          <w:rPr>
            <w:noProof/>
            <w:webHidden/>
          </w:rPr>
        </w:r>
        <w:r w:rsidR="0068420F">
          <w:rPr>
            <w:noProof/>
            <w:webHidden/>
          </w:rPr>
          <w:fldChar w:fldCharType="separate"/>
        </w:r>
        <w:r w:rsidR="0068420F">
          <w:rPr>
            <w:noProof/>
            <w:webHidden/>
          </w:rPr>
          <w:t>57</w:t>
        </w:r>
        <w:r w:rsidR="0068420F">
          <w:rPr>
            <w:noProof/>
            <w:webHidden/>
          </w:rPr>
          <w:fldChar w:fldCharType="end"/>
        </w:r>
      </w:hyperlink>
    </w:p>
    <w:p w:rsidR="0068420F" w:rsidRDefault="008E424D">
      <w:pPr>
        <w:pStyle w:val="TOC3"/>
        <w:tabs>
          <w:tab w:val="left" w:pos="1320"/>
          <w:tab w:val="right" w:leader="dot" w:pos="9060"/>
        </w:tabs>
        <w:rPr>
          <w:rFonts w:asciiTheme="minorHAnsi" w:eastAsiaTheme="minorEastAsia" w:hAnsiTheme="minorHAnsi" w:cstheme="minorBidi"/>
          <w:noProof/>
          <w:lang w:val="en-US"/>
        </w:rPr>
      </w:pPr>
      <w:hyperlink w:anchor="_Toc500140054" w:history="1">
        <w:r w:rsidR="0068420F" w:rsidRPr="009C6430">
          <w:rPr>
            <w:rStyle w:val="Hyperlink"/>
            <w:noProof/>
          </w:rPr>
          <w:t>V.2.1.</w:t>
        </w:r>
        <w:r w:rsidR="0068420F">
          <w:rPr>
            <w:rFonts w:asciiTheme="minorHAnsi" w:eastAsiaTheme="minorEastAsia" w:hAnsiTheme="minorHAnsi" w:cstheme="minorBidi"/>
            <w:noProof/>
            <w:lang w:val="en-US"/>
          </w:rPr>
          <w:tab/>
        </w:r>
        <w:r w:rsidR="0068420F" w:rsidRPr="009C6430">
          <w:rPr>
            <w:rStyle w:val="Hyperlink"/>
            <w:noProof/>
          </w:rPr>
          <w:t>Pregled sektorskih ciljeva sa očekivanim ishodima i indikatorima</w:t>
        </w:r>
        <w:r w:rsidR="0068420F">
          <w:rPr>
            <w:noProof/>
            <w:webHidden/>
          </w:rPr>
          <w:tab/>
        </w:r>
        <w:r w:rsidR="0068420F">
          <w:rPr>
            <w:noProof/>
            <w:webHidden/>
          </w:rPr>
          <w:fldChar w:fldCharType="begin"/>
        </w:r>
        <w:r w:rsidR="0068420F">
          <w:rPr>
            <w:noProof/>
            <w:webHidden/>
          </w:rPr>
          <w:instrText xml:space="preserve"> PAGEREF _Toc500140054 \h </w:instrText>
        </w:r>
        <w:r w:rsidR="0068420F">
          <w:rPr>
            <w:noProof/>
            <w:webHidden/>
          </w:rPr>
        </w:r>
        <w:r w:rsidR="0068420F">
          <w:rPr>
            <w:noProof/>
            <w:webHidden/>
          </w:rPr>
          <w:fldChar w:fldCharType="separate"/>
        </w:r>
        <w:r w:rsidR="0068420F">
          <w:rPr>
            <w:noProof/>
            <w:webHidden/>
          </w:rPr>
          <w:t>58</w:t>
        </w:r>
        <w:r w:rsidR="0068420F">
          <w:rPr>
            <w:noProof/>
            <w:webHidden/>
          </w:rPr>
          <w:fldChar w:fldCharType="end"/>
        </w:r>
      </w:hyperlink>
    </w:p>
    <w:p w:rsidR="0068420F" w:rsidRDefault="008E424D">
      <w:pPr>
        <w:pStyle w:val="TOC3"/>
        <w:tabs>
          <w:tab w:val="right" w:leader="dot" w:pos="9060"/>
        </w:tabs>
        <w:rPr>
          <w:rFonts w:asciiTheme="minorHAnsi" w:eastAsiaTheme="minorEastAsia" w:hAnsiTheme="minorHAnsi" w:cstheme="minorBidi"/>
          <w:noProof/>
          <w:lang w:val="en-US"/>
        </w:rPr>
      </w:pPr>
      <w:hyperlink w:anchor="_Toc500140055" w:history="1">
        <w:r w:rsidR="0068420F" w:rsidRPr="009C6430">
          <w:rPr>
            <w:rStyle w:val="Hyperlink"/>
            <w:noProof/>
          </w:rPr>
          <w:t>V.2.2. Usklađenost sa strateškim dokumentima viših nivoa</w:t>
        </w:r>
        <w:r w:rsidR="0068420F">
          <w:rPr>
            <w:noProof/>
            <w:webHidden/>
          </w:rPr>
          <w:tab/>
        </w:r>
        <w:r w:rsidR="0068420F">
          <w:rPr>
            <w:noProof/>
            <w:webHidden/>
          </w:rPr>
          <w:fldChar w:fldCharType="begin"/>
        </w:r>
        <w:r w:rsidR="0068420F">
          <w:rPr>
            <w:noProof/>
            <w:webHidden/>
          </w:rPr>
          <w:instrText xml:space="preserve"> PAGEREF _Toc500140055 \h </w:instrText>
        </w:r>
        <w:r w:rsidR="0068420F">
          <w:rPr>
            <w:noProof/>
            <w:webHidden/>
          </w:rPr>
        </w:r>
        <w:r w:rsidR="0068420F">
          <w:rPr>
            <w:noProof/>
            <w:webHidden/>
          </w:rPr>
          <w:fldChar w:fldCharType="separate"/>
        </w:r>
        <w:r w:rsidR="0068420F">
          <w:rPr>
            <w:noProof/>
            <w:webHidden/>
          </w:rPr>
          <w:t>58</w:t>
        </w:r>
        <w:r w:rsidR="0068420F">
          <w:rPr>
            <w:noProof/>
            <w:webHidden/>
          </w:rPr>
          <w:fldChar w:fldCharType="end"/>
        </w:r>
      </w:hyperlink>
    </w:p>
    <w:p w:rsidR="0068420F" w:rsidRDefault="008E424D">
      <w:pPr>
        <w:pStyle w:val="TOC3"/>
        <w:tabs>
          <w:tab w:val="right" w:leader="dot" w:pos="9060"/>
        </w:tabs>
        <w:rPr>
          <w:rFonts w:asciiTheme="minorHAnsi" w:eastAsiaTheme="minorEastAsia" w:hAnsiTheme="minorHAnsi" w:cstheme="minorBidi"/>
          <w:noProof/>
          <w:lang w:val="en-US"/>
        </w:rPr>
      </w:pPr>
      <w:hyperlink w:anchor="_Toc500140056" w:history="1">
        <w:r w:rsidR="0068420F" w:rsidRPr="009C6430">
          <w:rPr>
            <w:rStyle w:val="Hyperlink"/>
            <w:noProof/>
          </w:rPr>
          <w:t>V.2.3. Inicijative međuopćinske saradnje</w:t>
        </w:r>
        <w:r w:rsidR="0068420F">
          <w:rPr>
            <w:noProof/>
            <w:webHidden/>
          </w:rPr>
          <w:tab/>
        </w:r>
        <w:r w:rsidR="0068420F">
          <w:rPr>
            <w:noProof/>
            <w:webHidden/>
          </w:rPr>
          <w:fldChar w:fldCharType="begin"/>
        </w:r>
        <w:r w:rsidR="0068420F">
          <w:rPr>
            <w:noProof/>
            <w:webHidden/>
          </w:rPr>
          <w:instrText xml:space="preserve"> PAGEREF _Toc500140056 \h </w:instrText>
        </w:r>
        <w:r w:rsidR="0068420F">
          <w:rPr>
            <w:noProof/>
            <w:webHidden/>
          </w:rPr>
        </w:r>
        <w:r w:rsidR="0068420F">
          <w:rPr>
            <w:noProof/>
            <w:webHidden/>
          </w:rPr>
          <w:fldChar w:fldCharType="separate"/>
        </w:r>
        <w:r w:rsidR="0068420F">
          <w:rPr>
            <w:noProof/>
            <w:webHidden/>
          </w:rPr>
          <w:t>59</w:t>
        </w:r>
        <w:r w:rsidR="0068420F">
          <w:rPr>
            <w:noProof/>
            <w:webHidden/>
          </w:rPr>
          <w:fldChar w:fldCharType="end"/>
        </w:r>
      </w:hyperlink>
    </w:p>
    <w:p w:rsidR="0068420F" w:rsidRDefault="008E424D">
      <w:pPr>
        <w:pStyle w:val="TOC3"/>
        <w:tabs>
          <w:tab w:val="left" w:pos="1320"/>
          <w:tab w:val="right" w:leader="dot" w:pos="9060"/>
        </w:tabs>
        <w:rPr>
          <w:rFonts w:asciiTheme="minorHAnsi" w:eastAsiaTheme="minorEastAsia" w:hAnsiTheme="minorHAnsi" w:cstheme="minorBidi"/>
          <w:noProof/>
          <w:lang w:val="en-US"/>
        </w:rPr>
      </w:pPr>
      <w:hyperlink w:anchor="_Toc500140057" w:history="1">
        <w:r w:rsidR="0068420F" w:rsidRPr="009C6430">
          <w:rPr>
            <w:rStyle w:val="Hyperlink"/>
            <w:noProof/>
          </w:rPr>
          <w:t>V.2.4.</w:t>
        </w:r>
        <w:r w:rsidR="0068420F">
          <w:rPr>
            <w:rFonts w:asciiTheme="minorHAnsi" w:eastAsiaTheme="minorEastAsia" w:hAnsiTheme="minorHAnsi" w:cstheme="minorBidi"/>
            <w:noProof/>
            <w:lang w:val="en-US"/>
          </w:rPr>
          <w:tab/>
        </w:r>
        <w:r w:rsidR="0068420F" w:rsidRPr="009C6430">
          <w:rPr>
            <w:rStyle w:val="Hyperlink"/>
            <w:noProof/>
          </w:rPr>
          <w:t>Programi, projekti i mjere</w:t>
        </w:r>
        <w:r w:rsidR="0068420F">
          <w:rPr>
            <w:noProof/>
            <w:webHidden/>
          </w:rPr>
          <w:tab/>
        </w:r>
        <w:r w:rsidR="0068420F">
          <w:rPr>
            <w:noProof/>
            <w:webHidden/>
          </w:rPr>
          <w:fldChar w:fldCharType="begin"/>
        </w:r>
        <w:r w:rsidR="0068420F">
          <w:rPr>
            <w:noProof/>
            <w:webHidden/>
          </w:rPr>
          <w:instrText xml:space="preserve"> PAGEREF _Toc500140057 \h </w:instrText>
        </w:r>
        <w:r w:rsidR="0068420F">
          <w:rPr>
            <w:noProof/>
            <w:webHidden/>
          </w:rPr>
        </w:r>
        <w:r w:rsidR="0068420F">
          <w:rPr>
            <w:noProof/>
            <w:webHidden/>
          </w:rPr>
          <w:fldChar w:fldCharType="separate"/>
        </w:r>
        <w:r w:rsidR="0068420F">
          <w:rPr>
            <w:noProof/>
            <w:webHidden/>
          </w:rPr>
          <w:t>59</w:t>
        </w:r>
        <w:r w:rsidR="0068420F">
          <w:rPr>
            <w:noProof/>
            <w:webHidden/>
          </w:rPr>
          <w:fldChar w:fldCharType="end"/>
        </w:r>
      </w:hyperlink>
    </w:p>
    <w:p w:rsidR="0068420F" w:rsidRDefault="008E424D">
      <w:pPr>
        <w:pStyle w:val="TOC2"/>
        <w:tabs>
          <w:tab w:val="left" w:pos="960"/>
          <w:tab w:val="right" w:leader="dot" w:pos="9060"/>
        </w:tabs>
        <w:rPr>
          <w:rFonts w:asciiTheme="minorHAnsi" w:eastAsiaTheme="minorEastAsia" w:hAnsiTheme="minorHAnsi" w:cstheme="minorBidi"/>
          <w:noProof/>
          <w:lang w:val="en-US"/>
        </w:rPr>
      </w:pPr>
      <w:hyperlink w:anchor="_Toc500140058" w:history="1">
        <w:r w:rsidR="0068420F" w:rsidRPr="009C6430">
          <w:rPr>
            <w:rStyle w:val="Hyperlink"/>
            <w:noProof/>
          </w:rPr>
          <w:t>V.3</w:t>
        </w:r>
        <w:r w:rsidR="0068420F">
          <w:rPr>
            <w:rFonts w:asciiTheme="minorHAnsi" w:eastAsiaTheme="minorEastAsia" w:hAnsiTheme="minorHAnsi" w:cstheme="minorBidi"/>
            <w:noProof/>
            <w:lang w:val="en-US"/>
          </w:rPr>
          <w:tab/>
        </w:r>
        <w:r w:rsidR="0068420F" w:rsidRPr="009C6430">
          <w:rPr>
            <w:rStyle w:val="Hyperlink"/>
            <w:noProof/>
          </w:rPr>
          <w:t>Plan zaštite životne sredine</w:t>
        </w:r>
        <w:r w:rsidR="0068420F">
          <w:rPr>
            <w:noProof/>
            <w:webHidden/>
          </w:rPr>
          <w:tab/>
        </w:r>
        <w:r w:rsidR="0068420F">
          <w:rPr>
            <w:noProof/>
            <w:webHidden/>
          </w:rPr>
          <w:fldChar w:fldCharType="begin"/>
        </w:r>
        <w:r w:rsidR="0068420F">
          <w:rPr>
            <w:noProof/>
            <w:webHidden/>
          </w:rPr>
          <w:instrText xml:space="preserve"> PAGEREF _Toc500140058 \h </w:instrText>
        </w:r>
        <w:r w:rsidR="0068420F">
          <w:rPr>
            <w:noProof/>
            <w:webHidden/>
          </w:rPr>
        </w:r>
        <w:r w:rsidR="0068420F">
          <w:rPr>
            <w:noProof/>
            <w:webHidden/>
          </w:rPr>
          <w:fldChar w:fldCharType="separate"/>
        </w:r>
        <w:r w:rsidR="0068420F">
          <w:rPr>
            <w:noProof/>
            <w:webHidden/>
          </w:rPr>
          <w:t>60</w:t>
        </w:r>
        <w:r w:rsidR="0068420F">
          <w:rPr>
            <w:noProof/>
            <w:webHidden/>
          </w:rPr>
          <w:fldChar w:fldCharType="end"/>
        </w:r>
      </w:hyperlink>
    </w:p>
    <w:p w:rsidR="0068420F" w:rsidRDefault="008E424D">
      <w:pPr>
        <w:pStyle w:val="TOC3"/>
        <w:tabs>
          <w:tab w:val="left" w:pos="1320"/>
          <w:tab w:val="right" w:leader="dot" w:pos="9060"/>
        </w:tabs>
        <w:rPr>
          <w:rFonts w:asciiTheme="minorHAnsi" w:eastAsiaTheme="minorEastAsia" w:hAnsiTheme="minorHAnsi" w:cstheme="minorBidi"/>
          <w:noProof/>
          <w:lang w:val="en-US"/>
        </w:rPr>
      </w:pPr>
      <w:hyperlink w:anchor="_Toc500140059" w:history="1">
        <w:r w:rsidR="0068420F" w:rsidRPr="009C6430">
          <w:rPr>
            <w:rStyle w:val="Hyperlink"/>
            <w:noProof/>
          </w:rPr>
          <w:t>V.3.1.</w:t>
        </w:r>
        <w:r w:rsidR="0068420F">
          <w:rPr>
            <w:rFonts w:asciiTheme="minorHAnsi" w:eastAsiaTheme="minorEastAsia" w:hAnsiTheme="minorHAnsi" w:cstheme="minorBidi"/>
            <w:noProof/>
            <w:lang w:val="en-US"/>
          </w:rPr>
          <w:tab/>
        </w:r>
        <w:r w:rsidR="0068420F" w:rsidRPr="009C6430">
          <w:rPr>
            <w:rStyle w:val="Hyperlink"/>
            <w:noProof/>
          </w:rPr>
          <w:t>Pregled sektorskih ciljeva sa očekivanim ishodima i indikatorima</w:t>
        </w:r>
        <w:r w:rsidR="0068420F">
          <w:rPr>
            <w:noProof/>
            <w:webHidden/>
          </w:rPr>
          <w:tab/>
        </w:r>
        <w:r w:rsidR="0068420F">
          <w:rPr>
            <w:noProof/>
            <w:webHidden/>
          </w:rPr>
          <w:fldChar w:fldCharType="begin"/>
        </w:r>
        <w:r w:rsidR="0068420F">
          <w:rPr>
            <w:noProof/>
            <w:webHidden/>
          </w:rPr>
          <w:instrText xml:space="preserve"> PAGEREF _Toc500140059 \h </w:instrText>
        </w:r>
        <w:r w:rsidR="0068420F">
          <w:rPr>
            <w:noProof/>
            <w:webHidden/>
          </w:rPr>
        </w:r>
        <w:r w:rsidR="0068420F">
          <w:rPr>
            <w:noProof/>
            <w:webHidden/>
          </w:rPr>
          <w:fldChar w:fldCharType="separate"/>
        </w:r>
        <w:r w:rsidR="0068420F">
          <w:rPr>
            <w:noProof/>
            <w:webHidden/>
          </w:rPr>
          <w:t>61</w:t>
        </w:r>
        <w:r w:rsidR="0068420F">
          <w:rPr>
            <w:noProof/>
            <w:webHidden/>
          </w:rPr>
          <w:fldChar w:fldCharType="end"/>
        </w:r>
      </w:hyperlink>
    </w:p>
    <w:p w:rsidR="0068420F" w:rsidRDefault="008E424D">
      <w:pPr>
        <w:pStyle w:val="TOC3"/>
        <w:tabs>
          <w:tab w:val="right" w:leader="dot" w:pos="9060"/>
        </w:tabs>
        <w:rPr>
          <w:rFonts w:asciiTheme="minorHAnsi" w:eastAsiaTheme="minorEastAsia" w:hAnsiTheme="minorHAnsi" w:cstheme="minorBidi"/>
          <w:noProof/>
          <w:lang w:val="en-US"/>
        </w:rPr>
      </w:pPr>
      <w:hyperlink w:anchor="_Toc500140060" w:history="1">
        <w:r w:rsidR="0068420F" w:rsidRPr="009C6430">
          <w:rPr>
            <w:rStyle w:val="Hyperlink"/>
            <w:noProof/>
          </w:rPr>
          <w:t>V.3.2. Usklađenost sa strateškim dokumentima viših nivoa</w:t>
        </w:r>
        <w:r w:rsidR="0068420F">
          <w:rPr>
            <w:noProof/>
            <w:webHidden/>
          </w:rPr>
          <w:tab/>
        </w:r>
        <w:r w:rsidR="0068420F">
          <w:rPr>
            <w:noProof/>
            <w:webHidden/>
          </w:rPr>
          <w:fldChar w:fldCharType="begin"/>
        </w:r>
        <w:r w:rsidR="0068420F">
          <w:rPr>
            <w:noProof/>
            <w:webHidden/>
          </w:rPr>
          <w:instrText xml:space="preserve"> PAGEREF _Toc500140060 \h </w:instrText>
        </w:r>
        <w:r w:rsidR="0068420F">
          <w:rPr>
            <w:noProof/>
            <w:webHidden/>
          </w:rPr>
        </w:r>
        <w:r w:rsidR="0068420F">
          <w:rPr>
            <w:noProof/>
            <w:webHidden/>
          </w:rPr>
          <w:fldChar w:fldCharType="separate"/>
        </w:r>
        <w:r w:rsidR="0068420F">
          <w:rPr>
            <w:noProof/>
            <w:webHidden/>
          </w:rPr>
          <w:t>61</w:t>
        </w:r>
        <w:r w:rsidR="0068420F">
          <w:rPr>
            <w:noProof/>
            <w:webHidden/>
          </w:rPr>
          <w:fldChar w:fldCharType="end"/>
        </w:r>
      </w:hyperlink>
    </w:p>
    <w:p w:rsidR="0068420F" w:rsidRDefault="008E424D">
      <w:pPr>
        <w:pStyle w:val="TOC3"/>
        <w:tabs>
          <w:tab w:val="right" w:leader="dot" w:pos="9060"/>
        </w:tabs>
        <w:rPr>
          <w:rFonts w:asciiTheme="minorHAnsi" w:eastAsiaTheme="minorEastAsia" w:hAnsiTheme="minorHAnsi" w:cstheme="minorBidi"/>
          <w:noProof/>
          <w:lang w:val="en-US"/>
        </w:rPr>
      </w:pPr>
      <w:hyperlink w:anchor="_Toc500140061" w:history="1">
        <w:r w:rsidR="0068420F" w:rsidRPr="009C6430">
          <w:rPr>
            <w:rStyle w:val="Hyperlink"/>
            <w:noProof/>
          </w:rPr>
          <w:t>V.3.3. Inicijative međuopćinske saradnje</w:t>
        </w:r>
        <w:r w:rsidR="0068420F">
          <w:rPr>
            <w:noProof/>
            <w:webHidden/>
          </w:rPr>
          <w:tab/>
        </w:r>
        <w:r w:rsidR="0068420F">
          <w:rPr>
            <w:noProof/>
            <w:webHidden/>
          </w:rPr>
          <w:fldChar w:fldCharType="begin"/>
        </w:r>
        <w:r w:rsidR="0068420F">
          <w:rPr>
            <w:noProof/>
            <w:webHidden/>
          </w:rPr>
          <w:instrText xml:space="preserve"> PAGEREF _Toc500140061 \h </w:instrText>
        </w:r>
        <w:r w:rsidR="0068420F">
          <w:rPr>
            <w:noProof/>
            <w:webHidden/>
          </w:rPr>
        </w:r>
        <w:r w:rsidR="0068420F">
          <w:rPr>
            <w:noProof/>
            <w:webHidden/>
          </w:rPr>
          <w:fldChar w:fldCharType="separate"/>
        </w:r>
        <w:r w:rsidR="0068420F">
          <w:rPr>
            <w:noProof/>
            <w:webHidden/>
          </w:rPr>
          <w:t>62</w:t>
        </w:r>
        <w:r w:rsidR="0068420F">
          <w:rPr>
            <w:noProof/>
            <w:webHidden/>
          </w:rPr>
          <w:fldChar w:fldCharType="end"/>
        </w:r>
      </w:hyperlink>
    </w:p>
    <w:p w:rsidR="0068420F" w:rsidRDefault="008E424D">
      <w:pPr>
        <w:pStyle w:val="TOC3"/>
        <w:tabs>
          <w:tab w:val="left" w:pos="1320"/>
          <w:tab w:val="right" w:leader="dot" w:pos="9060"/>
        </w:tabs>
        <w:rPr>
          <w:rFonts w:asciiTheme="minorHAnsi" w:eastAsiaTheme="minorEastAsia" w:hAnsiTheme="minorHAnsi" w:cstheme="minorBidi"/>
          <w:noProof/>
          <w:lang w:val="en-US"/>
        </w:rPr>
      </w:pPr>
      <w:hyperlink w:anchor="_Toc500140062" w:history="1">
        <w:r w:rsidR="0068420F" w:rsidRPr="009C6430">
          <w:rPr>
            <w:rStyle w:val="Hyperlink"/>
            <w:noProof/>
          </w:rPr>
          <w:t>V.3.4.</w:t>
        </w:r>
        <w:r w:rsidR="0068420F">
          <w:rPr>
            <w:rFonts w:asciiTheme="minorHAnsi" w:eastAsiaTheme="minorEastAsia" w:hAnsiTheme="minorHAnsi" w:cstheme="minorBidi"/>
            <w:noProof/>
            <w:lang w:val="en-US"/>
          </w:rPr>
          <w:tab/>
        </w:r>
        <w:r w:rsidR="0068420F" w:rsidRPr="009C6430">
          <w:rPr>
            <w:rStyle w:val="Hyperlink"/>
            <w:noProof/>
          </w:rPr>
          <w:t>Programi, projekti i mjere.</w:t>
        </w:r>
        <w:r w:rsidR="0068420F">
          <w:rPr>
            <w:noProof/>
            <w:webHidden/>
          </w:rPr>
          <w:tab/>
        </w:r>
        <w:r w:rsidR="0068420F">
          <w:rPr>
            <w:noProof/>
            <w:webHidden/>
          </w:rPr>
          <w:fldChar w:fldCharType="begin"/>
        </w:r>
        <w:r w:rsidR="0068420F">
          <w:rPr>
            <w:noProof/>
            <w:webHidden/>
          </w:rPr>
          <w:instrText xml:space="preserve"> PAGEREF _Toc500140062 \h </w:instrText>
        </w:r>
        <w:r w:rsidR="0068420F">
          <w:rPr>
            <w:noProof/>
            <w:webHidden/>
          </w:rPr>
        </w:r>
        <w:r w:rsidR="0068420F">
          <w:rPr>
            <w:noProof/>
            <w:webHidden/>
          </w:rPr>
          <w:fldChar w:fldCharType="separate"/>
        </w:r>
        <w:r w:rsidR="0068420F">
          <w:rPr>
            <w:noProof/>
            <w:webHidden/>
          </w:rPr>
          <w:t>62</w:t>
        </w:r>
        <w:r w:rsidR="0068420F">
          <w:rPr>
            <w:noProof/>
            <w:webHidden/>
          </w:rPr>
          <w:fldChar w:fldCharType="end"/>
        </w:r>
      </w:hyperlink>
    </w:p>
    <w:p w:rsidR="0068420F" w:rsidRDefault="008E424D">
      <w:pPr>
        <w:pStyle w:val="TOC1"/>
        <w:rPr>
          <w:rFonts w:asciiTheme="minorHAnsi" w:eastAsiaTheme="minorEastAsia" w:hAnsiTheme="minorHAnsi" w:cstheme="minorBidi"/>
          <w:b w:val="0"/>
          <w:noProof/>
          <w:lang w:val="en-US"/>
        </w:rPr>
      </w:pPr>
      <w:hyperlink w:anchor="_Toc500140063" w:history="1">
        <w:r w:rsidR="0068420F" w:rsidRPr="009C6430">
          <w:rPr>
            <w:rStyle w:val="Hyperlink"/>
            <w:noProof/>
          </w:rPr>
          <w:t>VI. Operativni dio</w:t>
        </w:r>
        <w:r w:rsidR="0068420F">
          <w:rPr>
            <w:noProof/>
            <w:webHidden/>
          </w:rPr>
          <w:tab/>
        </w:r>
        <w:r w:rsidR="0068420F">
          <w:rPr>
            <w:noProof/>
            <w:webHidden/>
          </w:rPr>
          <w:fldChar w:fldCharType="begin"/>
        </w:r>
        <w:r w:rsidR="0068420F">
          <w:rPr>
            <w:noProof/>
            <w:webHidden/>
          </w:rPr>
          <w:instrText xml:space="preserve"> PAGEREF _Toc500140063 \h </w:instrText>
        </w:r>
        <w:r w:rsidR="0068420F">
          <w:rPr>
            <w:noProof/>
            <w:webHidden/>
          </w:rPr>
        </w:r>
        <w:r w:rsidR="0068420F">
          <w:rPr>
            <w:noProof/>
            <w:webHidden/>
          </w:rPr>
          <w:fldChar w:fldCharType="separate"/>
        </w:r>
        <w:r w:rsidR="0068420F">
          <w:rPr>
            <w:noProof/>
            <w:webHidden/>
          </w:rPr>
          <w:t>65</w:t>
        </w:r>
        <w:r w:rsidR="0068420F">
          <w:rPr>
            <w:noProof/>
            <w:webHidden/>
          </w:rPr>
          <w:fldChar w:fldCharType="end"/>
        </w:r>
      </w:hyperlink>
    </w:p>
    <w:p w:rsidR="0068420F" w:rsidRDefault="008E424D">
      <w:pPr>
        <w:pStyle w:val="TOC2"/>
        <w:tabs>
          <w:tab w:val="right" w:leader="dot" w:pos="9060"/>
        </w:tabs>
        <w:rPr>
          <w:rFonts w:asciiTheme="minorHAnsi" w:eastAsiaTheme="minorEastAsia" w:hAnsiTheme="minorHAnsi" w:cstheme="minorBidi"/>
          <w:noProof/>
          <w:lang w:val="en-US"/>
        </w:rPr>
      </w:pPr>
      <w:hyperlink w:anchor="_Toc500140064" w:history="1">
        <w:r w:rsidR="0068420F" w:rsidRPr="009C6430">
          <w:rPr>
            <w:rStyle w:val="Hyperlink"/>
            <w:noProof/>
          </w:rPr>
          <w:t>VI.1. Plan implementacije strateških projekata i mjera za 3 godine (1+2)</w:t>
        </w:r>
        <w:r w:rsidR="0068420F">
          <w:rPr>
            <w:noProof/>
            <w:webHidden/>
          </w:rPr>
          <w:tab/>
        </w:r>
        <w:r w:rsidR="0068420F">
          <w:rPr>
            <w:noProof/>
            <w:webHidden/>
          </w:rPr>
          <w:fldChar w:fldCharType="begin"/>
        </w:r>
        <w:r w:rsidR="0068420F">
          <w:rPr>
            <w:noProof/>
            <w:webHidden/>
          </w:rPr>
          <w:instrText xml:space="preserve"> PAGEREF _Toc500140064 \h </w:instrText>
        </w:r>
        <w:r w:rsidR="0068420F">
          <w:rPr>
            <w:noProof/>
            <w:webHidden/>
          </w:rPr>
        </w:r>
        <w:r w:rsidR="0068420F">
          <w:rPr>
            <w:noProof/>
            <w:webHidden/>
          </w:rPr>
          <w:fldChar w:fldCharType="separate"/>
        </w:r>
        <w:r w:rsidR="0068420F">
          <w:rPr>
            <w:noProof/>
            <w:webHidden/>
          </w:rPr>
          <w:t>65</w:t>
        </w:r>
        <w:r w:rsidR="0068420F">
          <w:rPr>
            <w:noProof/>
            <w:webHidden/>
          </w:rPr>
          <w:fldChar w:fldCharType="end"/>
        </w:r>
      </w:hyperlink>
    </w:p>
    <w:p w:rsidR="0068420F" w:rsidRDefault="008E424D">
      <w:pPr>
        <w:pStyle w:val="TOC2"/>
        <w:tabs>
          <w:tab w:val="right" w:leader="dot" w:pos="9060"/>
        </w:tabs>
        <w:rPr>
          <w:rFonts w:asciiTheme="minorHAnsi" w:eastAsiaTheme="minorEastAsia" w:hAnsiTheme="minorHAnsi" w:cstheme="minorBidi"/>
          <w:noProof/>
          <w:lang w:val="en-US"/>
        </w:rPr>
      </w:pPr>
      <w:hyperlink w:anchor="_Toc500140065" w:history="1">
        <w:r w:rsidR="0068420F" w:rsidRPr="009C6430">
          <w:rPr>
            <w:rStyle w:val="Hyperlink"/>
            <w:noProof/>
          </w:rPr>
          <w:t>VI.2. Plan organizacionih i ljudskih kapaciteta za implementaciju, praćenje i vrednovanje strategije</w:t>
        </w:r>
        <w:r w:rsidR="0068420F">
          <w:rPr>
            <w:noProof/>
            <w:webHidden/>
          </w:rPr>
          <w:tab/>
        </w:r>
        <w:r w:rsidR="0068420F">
          <w:rPr>
            <w:noProof/>
            <w:webHidden/>
          </w:rPr>
          <w:fldChar w:fldCharType="begin"/>
        </w:r>
        <w:r w:rsidR="0068420F">
          <w:rPr>
            <w:noProof/>
            <w:webHidden/>
          </w:rPr>
          <w:instrText xml:space="preserve"> PAGEREF _Toc500140065 \h </w:instrText>
        </w:r>
        <w:r w:rsidR="0068420F">
          <w:rPr>
            <w:noProof/>
            <w:webHidden/>
          </w:rPr>
        </w:r>
        <w:r w:rsidR="0068420F">
          <w:rPr>
            <w:noProof/>
            <w:webHidden/>
          </w:rPr>
          <w:fldChar w:fldCharType="separate"/>
        </w:r>
        <w:r w:rsidR="0068420F">
          <w:rPr>
            <w:noProof/>
            <w:webHidden/>
          </w:rPr>
          <w:t>82</w:t>
        </w:r>
        <w:r w:rsidR="0068420F">
          <w:rPr>
            <w:noProof/>
            <w:webHidden/>
          </w:rPr>
          <w:fldChar w:fldCharType="end"/>
        </w:r>
      </w:hyperlink>
    </w:p>
    <w:p w:rsidR="0068420F" w:rsidRDefault="008E424D">
      <w:pPr>
        <w:pStyle w:val="TOC1"/>
        <w:rPr>
          <w:rFonts w:asciiTheme="minorHAnsi" w:eastAsiaTheme="minorEastAsia" w:hAnsiTheme="minorHAnsi" w:cstheme="minorBidi"/>
          <w:b w:val="0"/>
          <w:noProof/>
          <w:lang w:val="en-US"/>
        </w:rPr>
      </w:pPr>
      <w:hyperlink w:anchor="_Toc500140066" w:history="1">
        <w:r w:rsidR="0068420F" w:rsidRPr="009C6430">
          <w:rPr>
            <w:rStyle w:val="Hyperlink"/>
            <w:noProof/>
          </w:rPr>
          <w:t>VII. Prilozi</w:t>
        </w:r>
        <w:r w:rsidR="0068420F">
          <w:rPr>
            <w:noProof/>
            <w:webHidden/>
          </w:rPr>
          <w:tab/>
        </w:r>
        <w:r w:rsidR="0068420F">
          <w:rPr>
            <w:noProof/>
            <w:webHidden/>
          </w:rPr>
          <w:fldChar w:fldCharType="begin"/>
        </w:r>
        <w:r w:rsidR="0068420F">
          <w:rPr>
            <w:noProof/>
            <w:webHidden/>
          </w:rPr>
          <w:instrText xml:space="preserve"> PAGEREF _Toc500140066 \h </w:instrText>
        </w:r>
        <w:r w:rsidR="0068420F">
          <w:rPr>
            <w:noProof/>
            <w:webHidden/>
          </w:rPr>
        </w:r>
        <w:r w:rsidR="0068420F">
          <w:rPr>
            <w:noProof/>
            <w:webHidden/>
          </w:rPr>
          <w:fldChar w:fldCharType="separate"/>
        </w:r>
        <w:r w:rsidR="0068420F">
          <w:rPr>
            <w:noProof/>
            <w:webHidden/>
          </w:rPr>
          <w:t>85</w:t>
        </w:r>
        <w:r w:rsidR="0068420F">
          <w:rPr>
            <w:noProof/>
            <w:webHidden/>
          </w:rPr>
          <w:fldChar w:fldCharType="end"/>
        </w:r>
      </w:hyperlink>
    </w:p>
    <w:p w:rsidR="0068420F" w:rsidRDefault="008E424D">
      <w:pPr>
        <w:pStyle w:val="TOC2"/>
        <w:tabs>
          <w:tab w:val="right" w:leader="dot" w:pos="9060"/>
        </w:tabs>
        <w:rPr>
          <w:rFonts w:asciiTheme="minorHAnsi" w:eastAsiaTheme="minorEastAsia" w:hAnsiTheme="minorHAnsi" w:cstheme="minorBidi"/>
          <w:noProof/>
          <w:lang w:val="en-US"/>
        </w:rPr>
      </w:pPr>
      <w:hyperlink w:anchor="_Toc500140067" w:history="1">
        <w:r w:rsidR="0068420F" w:rsidRPr="009C6430">
          <w:rPr>
            <w:rStyle w:val="Hyperlink"/>
            <w:noProof/>
          </w:rPr>
          <w:t>Prilog 1: Integrirani pregled Strategije razvoja za period 2018.-2022.</w:t>
        </w:r>
        <w:r w:rsidR="0068420F">
          <w:rPr>
            <w:noProof/>
            <w:webHidden/>
          </w:rPr>
          <w:tab/>
        </w:r>
        <w:r w:rsidR="0068420F">
          <w:rPr>
            <w:noProof/>
            <w:webHidden/>
          </w:rPr>
          <w:fldChar w:fldCharType="begin"/>
        </w:r>
        <w:r w:rsidR="0068420F">
          <w:rPr>
            <w:noProof/>
            <w:webHidden/>
          </w:rPr>
          <w:instrText xml:space="preserve"> PAGEREF _Toc500140067 \h </w:instrText>
        </w:r>
        <w:r w:rsidR="0068420F">
          <w:rPr>
            <w:noProof/>
            <w:webHidden/>
          </w:rPr>
        </w:r>
        <w:r w:rsidR="0068420F">
          <w:rPr>
            <w:noProof/>
            <w:webHidden/>
          </w:rPr>
          <w:fldChar w:fldCharType="separate"/>
        </w:r>
        <w:r w:rsidR="0068420F">
          <w:rPr>
            <w:noProof/>
            <w:webHidden/>
          </w:rPr>
          <w:t>85</w:t>
        </w:r>
        <w:r w:rsidR="0068420F">
          <w:rPr>
            <w:noProof/>
            <w:webHidden/>
          </w:rPr>
          <w:fldChar w:fldCharType="end"/>
        </w:r>
      </w:hyperlink>
    </w:p>
    <w:p w:rsidR="0068420F" w:rsidRDefault="008E424D">
      <w:pPr>
        <w:pStyle w:val="TOC2"/>
        <w:tabs>
          <w:tab w:val="right" w:leader="dot" w:pos="9060"/>
        </w:tabs>
        <w:rPr>
          <w:rFonts w:asciiTheme="minorHAnsi" w:eastAsiaTheme="minorEastAsia" w:hAnsiTheme="minorHAnsi" w:cstheme="minorBidi"/>
          <w:noProof/>
          <w:lang w:val="en-US"/>
        </w:rPr>
      </w:pPr>
      <w:hyperlink w:anchor="_Toc500140068" w:history="1">
        <w:r w:rsidR="0068420F" w:rsidRPr="009C6430">
          <w:rPr>
            <w:rStyle w:val="Hyperlink"/>
            <w:noProof/>
          </w:rPr>
          <w:t>Prilog 2: Таbеlе vаriјаbli zа prаćеnjе indikаtоrа Strategije razvoja 2018.-2022.</w:t>
        </w:r>
        <w:r w:rsidR="0068420F">
          <w:rPr>
            <w:noProof/>
            <w:webHidden/>
          </w:rPr>
          <w:tab/>
        </w:r>
        <w:r w:rsidR="0068420F">
          <w:rPr>
            <w:noProof/>
            <w:webHidden/>
          </w:rPr>
          <w:fldChar w:fldCharType="begin"/>
        </w:r>
        <w:r w:rsidR="0068420F">
          <w:rPr>
            <w:noProof/>
            <w:webHidden/>
          </w:rPr>
          <w:instrText xml:space="preserve"> PAGEREF _Toc500140068 \h </w:instrText>
        </w:r>
        <w:r w:rsidR="0068420F">
          <w:rPr>
            <w:noProof/>
            <w:webHidden/>
          </w:rPr>
        </w:r>
        <w:r w:rsidR="0068420F">
          <w:rPr>
            <w:noProof/>
            <w:webHidden/>
          </w:rPr>
          <w:fldChar w:fldCharType="separate"/>
        </w:r>
        <w:r w:rsidR="0068420F">
          <w:rPr>
            <w:noProof/>
            <w:webHidden/>
          </w:rPr>
          <w:t>85</w:t>
        </w:r>
        <w:r w:rsidR="0068420F">
          <w:rPr>
            <w:noProof/>
            <w:webHidden/>
          </w:rPr>
          <w:fldChar w:fldCharType="end"/>
        </w:r>
      </w:hyperlink>
    </w:p>
    <w:p w:rsidR="0068420F" w:rsidRDefault="008E424D">
      <w:pPr>
        <w:pStyle w:val="TOC2"/>
        <w:tabs>
          <w:tab w:val="right" w:leader="dot" w:pos="9060"/>
        </w:tabs>
        <w:rPr>
          <w:rFonts w:asciiTheme="minorHAnsi" w:eastAsiaTheme="minorEastAsia" w:hAnsiTheme="minorHAnsi" w:cstheme="minorBidi"/>
          <w:noProof/>
          <w:lang w:val="en-US"/>
        </w:rPr>
      </w:pPr>
      <w:hyperlink w:anchor="_Toc500140069" w:history="1">
        <w:r w:rsidR="0068420F" w:rsidRPr="009C6430">
          <w:rPr>
            <w:rStyle w:val="Hyperlink"/>
            <w:noProof/>
          </w:rPr>
          <w:t>Prilog 3: Prоcјеnа finansiranja Strategije razvoja 2018.-2022.</w:t>
        </w:r>
        <w:r w:rsidR="0068420F">
          <w:rPr>
            <w:noProof/>
            <w:webHidden/>
          </w:rPr>
          <w:tab/>
        </w:r>
        <w:r w:rsidR="0068420F">
          <w:rPr>
            <w:noProof/>
            <w:webHidden/>
          </w:rPr>
          <w:fldChar w:fldCharType="begin"/>
        </w:r>
        <w:r w:rsidR="0068420F">
          <w:rPr>
            <w:noProof/>
            <w:webHidden/>
          </w:rPr>
          <w:instrText xml:space="preserve"> PAGEREF _Toc500140069 \h </w:instrText>
        </w:r>
        <w:r w:rsidR="0068420F">
          <w:rPr>
            <w:noProof/>
            <w:webHidden/>
          </w:rPr>
        </w:r>
        <w:r w:rsidR="0068420F">
          <w:rPr>
            <w:noProof/>
            <w:webHidden/>
          </w:rPr>
          <w:fldChar w:fldCharType="separate"/>
        </w:r>
        <w:r w:rsidR="0068420F">
          <w:rPr>
            <w:noProof/>
            <w:webHidden/>
          </w:rPr>
          <w:t>85</w:t>
        </w:r>
        <w:r w:rsidR="0068420F">
          <w:rPr>
            <w:noProof/>
            <w:webHidden/>
          </w:rPr>
          <w:fldChar w:fldCharType="end"/>
        </w:r>
      </w:hyperlink>
    </w:p>
    <w:p w:rsidR="0068420F" w:rsidRDefault="008E424D">
      <w:pPr>
        <w:pStyle w:val="TOC2"/>
        <w:tabs>
          <w:tab w:val="right" w:leader="dot" w:pos="9060"/>
        </w:tabs>
        <w:rPr>
          <w:rFonts w:asciiTheme="minorHAnsi" w:eastAsiaTheme="minorEastAsia" w:hAnsiTheme="minorHAnsi" w:cstheme="minorBidi"/>
          <w:noProof/>
          <w:lang w:val="en-US"/>
        </w:rPr>
      </w:pPr>
      <w:hyperlink w:anchor="_Toc500140070" w:history="1">
        <w:r w:rsidR="0068420F" w:rsidRPr="009C6430">
          <w:rPr>
            <w:rStyle w:val="Hyperlink"/>
            <w:noProof/>
          </w:rPr>
          <w:t>Prilog 4: Plan implementacije strateških projekata i mjera za 3 godine (1+2) u excelu</w:t>
        </w:r>
        <w:r w:rsidR="0068420F">
          <w:rPr>
            <w:noProof/>
            <w:webHidden/>
          </w:rPr>
          <w:tab/>
        </w:r>
        <w:r w:rsidR="0068420F">
          <w:rPr>
            <w:noProof/>
            <w:webHidden/>
          </w:rPr>
          <w:fldChar w:fldCharType="begin"/>
        </w:r>
        <w:r w:rsidR="0068420F">
          <w:rPr>
            <w:noProof/>
            <w:webHidden/>
          </w:rPr>
          <w:instrText xml:space="preserve"> PAGEREF _Toc500140070 \h </w:instrText>
        </w:r>
        <w:r w:rsidR="0068420F">
          <w:rPr>
            <w:noProof/>
            <w:webHidden/>
          </w:rPr>
        </w:r>
        <w:r w:rsidR="0068420F">
          <w:rPr>
            <w:noProof/>
            <w:webHidden/>
          </w:rPr>
          <w:fldChar w:fldCharType="separate"/>
        </w:r>
        <w:r w:rsidR="0068420F">
          <w:rPr>
            <w:noProof/>
            <w:webHidden/>
          </w:rPr>
          <w:t>85</w:t>
        </w:r>
        <w:r w:rsidR="0068420F">
          <w:rPr>
            <w:noProof/>
            <w:webHidden/>
          </w:rPr>
          <w:fldChar w:fldCharType="end"/>
        </w:r>
      </w:hyperlink>
    </w:p>
    <w:p w:rsidR="0068420F" w:rsidRDefault="008E424D">
      <w:pPr>
        <w:pStyle w:val="TOC2"/>
        <w:tabs>
          <w:tab w:val="right" w:leader="dot" w:pos="9060"/>
        </w:tabs>
        <w:rPr>
          <w:rFonts w:asciiTheme="minorHAnsi" w:eastAsiaTheme="minorEastAsia" w:hAnsiTheme="minorHAnsi" w:cstheme="minorBidi"/>
          <w:noProof/>
          <w:lang w:val="en-US"/>
        </w:rPr>
      </w:pPr>
      <w:hyperlink w:anchor="_Toc500140071" w:history="1">
        <w:r w:rsidR="0068420F" w:rsidRPr="009C6430">
          <w:rPr>
            <w:rStyle w:val="Hyperlink"/>
            <w:noProof/>
          </w:rPr>
          <w:t>Prilog 5: Projektne fiše</w:t>
        </w:r>
        <w:r w:rsidR="0068420F">
          <w:rPr>
            <w:noProof/>
            <w:webHidden/>
          </w:rPr>
          <w:tab/>
        </w:r>
        <w:r w:rsidR="0068420F">
          <w:rPr>
            <w:noProof/>
            <w:webHidden/>
          </w:rPr>
          <w:fldChar w:fldCharType="begin"/>
        </w:r>
        <w:r w:rsidR="0068420F">
          <w:rPr>
            <w:noProof/>
            <w:webHidden/>
          </w:rPr>
          <w:instrText xml:space="preserve"> PAGEREF _Toc500140071 \h </w:instrText>
        </w:r>
        <w:r w:rsidR="0068420F">
          <w:rPr>
            <w:noProof/>
            <w:webHidden/>
          </w:rPr>
        </w:r>
        <w:r w:rsidR="0068420F">
          <w:rPr>
            <w:noProof/>
            <w:webHidden/>
          </w:rPr>
          <w:fldChar w:fldCharType="separate"/>
        </w:r>
        <w:r w:rsidR="0068420F">
          <w:rPr>
            <w:noProof/>
            <w:webHidden/>
          </w:rPr>
          <w:t>85</w:t>
        </w:r>
        <w:r w:rsidR="0068420F">
          <w:rPr>
            <w:noProof/>
            <w:webHidden/>
          </w:rPr>
          <w:fldChar w:fldCharType="end"/>
        </w:r>
      </w:hyperlink>
    </w:p>
    <w:p w:rsidR="004E2EBE" w:rsidRDefault="00EE760F" w:rsidP="00AD59CB">
      <w:pPr>
        <w:sectPr w:rsidR="004E2EBE" w:rsidSect="004E2EBE">
          <w:footerReference w:type="default" r:id="rId10"/>
          <w:footerReference w:type="first" r:id="rId11"/>
          <w:pgSz w:w="11906" w:h="16838" w:code="9"/>
          <w:pgMar w:top="1418" w:right="1418" w:bottom="1418" w:left="1418" w:header="720" w:footer="720" w:gutter="0"/>
          <w:cols w:space="720"/>
          <w:titlePg/>
          <w:docGrid w:linePitch="360"/>
        </w:sectPr>
      </w:pPr>
      <w:r>
        <w:fldChar w:fldCharType="end"/>
      </w:r>
      <w:bookmarkStart w:id="1" w:name="_Toc491379759"/>
    </w:p>
    <w:p w:rsidR="00881DF1" w:rsidRPr="008A5919" w:rsidRDefault="00881DF1" w:rsidP="00AD59CB">
      <w:pPr>
        <w:pStyle w:val="Heading1"/>
      </w:pPr>
      <w:bookmarkStart w:id="2" w:name="_Toc500139996"/>
      <w:r w:rsidRPr="008A5919">
        <w:lastRenderedPageBreak/>
        <w:t>II</w:t>
      </w:r>
      <w:r w:rsidRPr="008A5919">
        <w:tab/>
        <w:t>Uvod</w:t>
      </w:r>
      <w:bookmarkEnd w:id="1"/>
      <w:bookmarkEnd w:id="2"/>
    </w:p>
    <w:p w:rsidR="00C47787" w:rsidRPr="00F82C79" w:rsidRDefault="00C47787" w:rsidP="00002807">
      <w:pPr>
        <w:spacing w:after="120"/>
      </w:pPr>
      <w:r w:rsidRPr="00F82C79">
        <w:t>Strategija integriranog razvoja 201</w:t>
      </w:r>
      <w:r w:rsidR="00005095">
        <w:t>8</w:t>
      </w:r>
      <w:r w:rsidRPr="00F82C79">
        <w:t>–202</w:t>
      </w:r>
      <w:r>
        <w:t>7</w:t>
      </w:r>
      <w:r w:rsidRPr="00F82C79">
        <w:t xml:space="preserve">. godine je ključni strateško-planski dokument općine </w:t>
      </w:r>
      <w:r>
        <w:t>Kalesija</w:t>
      </w:r>
      <w:r w:rsidRPr="00F82C79">
        <w:t xml:space="preserve">, koji je usvojen na sjednici Općinskog vijeća </w:t>
      </w:r>
      <w:r>
        <w:t>Kalesija</w:t>
      </w:r>
      <w:r w:rsidRPr="00F82C79">
        <w:t xml:space="preserve"> </w:t>
      </w:r>
      <w:r w:rsidR="00921C02">
        <w:t>30.12.</w:t>
      </w:r>
      <w:r w:rsidRPr="00921C02">
        <w:t>2017. godine.</w:t>
      </w:r>
      <w:r w:rsidRPr="00F82C79">
        <w:t xml:space="preserve"> Strategija razvoja ima u vidu društvenu i ekonomsku sferu, ali i aspekte zaštite i unaprjeđenja životne sredine i prostora.  Strategija je razvijena kao okvir za definisanje zajedničkih ciljeva, podsticanje lokalnih snaga, ali i odgovor na izazove budućeg razvoja općine i sveukupnog života u njoj. Definisani strateški pravci usklađeni su sa strategijama i politikama viših nivoa vlasti.</w:t>
      </w:r>
    </w:p>
    <w:p w:rsidR="00C47787" w:rsidRPr="00F82C79" w:rsidRDefault="00C47787" w:rsidP="00002807">
      <w:pPr>
        <w:spacing w:after="120"/>
      </w:pPr>
      <w:r w:rsidRPr="00F82C79">
        <w:t xml:space="preserve">Preduslov kvalitetne i pravovremene implementacije Strategije jeste prepoznavanje njenog značaja od strane sveukupne lokalne zajednice i viših nivoa vlasti, ali i uspostava Strategijom predviđenih mehanizama za njenu implementaciju, izvještavanje, ažuriranje i sveukupnu operacionalizaciju. U momentu usvajanja Strategije, </w:t>
      </w:r>
      <w:r w:rsidR="0016626E">
        <w:t>u</w:t>
      </w:r>
      <w:r w:rsidR="0016626E" w:rsidRPr="0016626E">
        <w:t xml:space="preserve"> općini Kalesija n</w:t>
      </w:r>
      <w:r w:rsidR="0016626E">
        <w:t>ije postojala</w:t>
      </w:r>
      <w:r w:rsidR="0016626E" w:rsidRPr="0016626E">
        <w:t xml:space="preserve"> jedinica za upravljanje razvojem. Postoj</w:t>
      </w:r>
      <w:r w:rsidR="0016626E">
        <w:t>ali su</w:t>
      </w:r>
      <w:r w:rsidR="0016626E" w:rsidRPr="0016626E">
        <w:t xml:space="preserve"> pojedinačni referati koji</w:t>
      </w:r>
      <w:r w:rsidR="0016626E">
        <w:t xml:space="preserve"> su</w:t>
      </w:r>
      <w:r w:rsidR="0016626E" w:rsidRPr="0016626E">
        <w:t xml:space="preserve"> se bav</w:t>
      </w:r>
      <w:r w:rsidR="0016626E">
        <w:t>ili</w:t>
      </w:r>
      <w:r w:rsidR="0016626E" w:rsidRPr="0016626E">
        <w:t xml:space="preserve"> pojedinim razvojnim sektorima: jedan referat za poduzetništvo (stručni savjetnik za plan, analizu  i  poduzetništvo u okviru Odsjeka za poljoprivredu i poduzetništvo, Služba za poljoprivredu, budžet i inspekcijske poslove); jedan referat za zaštitu okoliša (viši stručni saradnik za komunalne poslove i ekologiju u okviru Odsjeka za komunalne poslove, Služba za prostorno planiranje, građenje i komunalne poslove) i jedan referat za društveni sektor (viši referent za društvene djelatnosti i rad sa mladima u okviru Odsjeka za društvene djelatnosti i opću upravu, Služba za opću upravu, boračko-invalidsku zaštitu i raseljena lica). Ovakva </w:t>
      </w:r>
      <w:r w:rsidR="0016626E">
        <w:t>organizacija</w:t>
      </w:r>
      <w:r w:rsidR="0016626E" w:rsidRPr="0016626E">
        <w:t xml:space="preserve"> ne omogućava sistematsko praćenje realizacije pojedinačnih projekata i Strategije u cjelini</w:t>
      </w:r>
      <w:r w:rsidR="0016626E">
        <w:t>, te p</w:t>
      </w:r>
      <w:r w:rsidR="0016626E" w:rsidRPr="0016626E">
        <w:t xml:space="preserve">ostoji potreba da se uvede funkcionalnija struktura za upravljanje razvojem, </w:t>
      </w:r>
      <w:r w:rsidR="0016626E">
        <w:t>koja će se baviti</w:t>
      </w:r>
      <w:r w:rsidRPr="00F82C79">
        <w:t xml:space="preserve"> godišnj</w:t>
      </w:r>
      <w:r w:rsidR="0016626E">
        <w:t>i</w:t>
      </w:r>
      <w:r w:rsidRPr="00F82C79">
        <w:t>m planiranj</w:t>
      </w:r>
      <w:r w:rsidR="0016626E">
        <w:t>em</w:t>
      </w:r>
      <w:r w:rsidRPr="00F82C79">
        <w:t>, praćenj</w:t>
      </w:r>
      <w:r w:rsidR="0016626E">
        <w:t>em</w:t>
      </w:r>
      <w:r>
        <w:t>,</w:t>
      </w:r>
      <w:r w:rsidRPr="00F82C79">
        <w:t xml:space="preserve"> vrednovanj</w:t>
      </w:r>
      <w:r w:rsidR="0016626E">
        <w:t>em</w:t>
      </w:r>
      <w:r w:rsidRPr="00F82C79">
        <w:t xml:space="preserve"> i izvještavanj</w:t>
      </w:r>
      <w:r w:rsidR="0016626E">
        <w:t>em</w:t>
      </w:r>
      <w:r>
        <w:t xml:space="preserve"> o implementaciji Strategije</w:t>
      </w:r>
      <w:r w:rsidRPr="00F82C79">
        <w:t>.</w:t>
      </w:r>
    </w:p>
    <w:p w:rsidR="00881DF1" w:rsidRDefault="00C47787" w:rsidP="00002807">
      <w:pPr>
        <w:spacing w:after="120"/>
      </w:pPr>
      <w:r w:rsidRPr="00F82C79">
        <w:t xml:space="preserve">Tehnička pomoć u procesu srednjoročne evaluacije i revizije Strategije razvoja pružena je Općinskom razvojnom timu u okviru </w:t>
      </w:r>
      <w:r w:rsidR="0003611F">
        <w:t>Projekta o</w:t>
      </w:r>
      <w:r w:rsidR="0003611F" w:rsidRPr="0003611F">
        <w:t>pćinskog okolišnog i ekonomskog upravljanja (MEG)</w:t>
      </w:r>
      <w:r>
        <w:t>, uz finansijsku podršku Švi</w:t>
      </w:r>
      <w:r w:rsidRPr="00F82C79">
        <w:t xml:space="preserve">carske agencije za razvoj i saradnju. </w:t>
      </w:r>
    </w:p>
    <w:p w:rsidR="00092E44" w:rsidRDefault="00092E44">
      <w:pPr>
        <w:spacing w:after="160" w:line="259" w:lineRule="auto"/>
        <w:jc w:val="left"/>
        <w:rPr>
          <w:rFonts w:eastAsia="Times New Roman"/>
          <w:b/>
          <w:bCs/>
          <w:kern w:val="32"/>
          <w:sz w:val="32"/>
          <w:szCs w:val="32"/>
          <w:lang w:val="en-US"/>
        </w:rPr>
      </w:pPr>
      <w:bookmarkStart w:id="3" w:name="_Toc491379760"/>
      <w:r>
        <w:br w:type="page"/>
      </w:r>
    </w:p>
    <w:p w:rsidR="00881DF1" w:rsidRPr="008A5919" w:rsidRDefault="00881DF1" w:rsidP="00AD59CB">
      <w:pPr>
        <w:pStyle w:val="Heading1"/>
      </w:pPr>
      <w:bookmarkStart w:id="4" w:name="_Toc500139997"/>
      <w:r w:rsidRPr="008A5919">
        <w:lastRenderedPageBreak/>
        <w:t>III</w:t>
      </w:r>
      <w:r w:rsidRPr="008A5919">
        <w:tab/>
        <w:t>Metodologija kreiranja strategije lokalnog razvoja</w:t>
      </w:r>
      <w:bookmarkEnd w:id="3"/>
      <w:bookmarkEnd w:id="4"/>
    </w:p>
    <w:p w:rsidR="0075140B" w:rsidRPr="00F82C79" w:rsidRDefault="0075140B" w:rsidP="00002807">
      <w:pPr>
        <w:spacing w:after="120"/>
      </w:pPr>
      <w:r w:rsidRPr="00F82C79">
        <w:t xml:space="preserve">Za reviziju </w:t>
      </w:r>
      <w:r>
        <w:t>Strategije</w:t>
      </w:r>
      <w:r w:rsidRPr="00F82C79">
        <w:t xml:space="preserve"> razvoja općine </w:t>
      </w:r>
      <w:r>
        <w:t>Kalesija</w:t>
      </w:r>
      <w:r w:rsidRPr="00F82C79">
        <w:t xml:space="preserve"> korištena je standardizirana Metodologija za integrirano planiranje lokalnog razvoja (MiPRO), prihvaćena i preporučena od strane entitetskih vlada te saveza općina i gradova oba entiteta. MiPRO je u potpunosti usklađena sa postojećim zakonskim okvirom kojim je definisano planiranje razvoja na lokalnom nivou, gdje je općinska uprava nosilac procesa izrade i implementacije strategije, uz maksimalno uključivanje i svih drugih aktera u lokalnoj zajednici. Nadalje, MiPRO je u potpunosti usaglašena sa vodećim principima i pristupima strateškom planiranju koje promovira Evropska unija.</w:t>
      </w:r>
    </w:p>
    <w:p w:rsidR="0075140B" w:rsidRPr="00F82C79" w:rsidRDefault="0075140B" w:rsidP="00002807">
      <w:pPr>
        <w:spacing w:after="120"/>
      </w:pPr>
      <w:r w:rsidRPr="00F82C79">
        <w:t xml:space="preserve">Vodeći principi na kojima se zasniva Strategija razvoja općine </w:t>
      </w:r>
      <w:r>
        <w:t>Kalesija</w:t>
      </w:r>
      <w:r w:rsidRPr="00F82C79">
        <w:t xml:space="preserve"> su održivost i socijalna uključenost. Održivost kao princip integrira ekonomski i okolišni aspekt, dok princip socijalne uključenosti podrazumijeva jednake šanse za sve i pravičnost u smislu identificiranja potreba i interesa marginaliziranih i socijalno isključenih grupa stanovništva. Strategiju razvoja karakteriziraju integracija (što znači da su ekonomski, društveni i okolišni aspekt posmatrani kao neodvojivi dijelovi  jedne cjeline) i participacija (svi zainteresirani akteri su angažirani i doprinijeli su izradi Strategije). </w:t>
      </w:r>
    </w:p>
    <w:p w:rsidR="00881DF1" w:rsidRPr="00881DF1" w:rsidRDefault="0075140B" w:rsidP="00002807">
      <w:pPr>
        <w:spacing w:after="120"/>
      </w:pPr>
      <w:r w:rsidRPr="001F3520">
        <w:t xml:space="preserve">Vizija i strateški ciljevi razvoja općine definisani su na period od deset godina, a sektorski planovi na period od pet godine. Proces izrade Strategije operativno vodi Općinski razvojni tim uz konsultovanje članova Partnerske grupe. Partnerska grupa sačinjena je od predstavnika javnog, privatnog i nevladinog sektora i ima zadatak validirati stratešku platformu i cjelokupnu Strategiju nakon čega se nacrt </w:t>
      </w:r>
      <w:r w:rsidR="008B0242">
        <w:t>S</w:t>
      </w:r>
      <w:r w:rsidRPr="001F3520">
        <w:t>trategije dostav</w:t>
      </w:r>
      <w:r w:rsidR="008B0242">
        <w:t>io</w:t>
      </w:r>
      <w:r w:rsidRPr="001F3520">
        <w:t xml:space="preserve"> Općinskom vijeću na razmatranje i usvajanje.</w:t>
      </w:r>
    </w:p>
    <w:p w:rsidR="00092E44" w:rsidRDefault="00092E44" w:rsidP="00002807">
      <w:pPr>
        <w:spacing w:after="120" w:line="259" w:lineRule="auto"/>
        <w:jc w:val="left"/>
        <w:rPr>
          <w:rFonts w:eastAsia="Times New Roman"/>
          <w:b/>
          <w:bCs/>
          <w:kern w:val="32"/>
          <w:sz w:val="32"/>
          <w:szCs w:val="32"/>
          <w:lang w:val="en-US"/>
        </w:rPr>
      </w:pPr>
      <w:bookmarkStart w:id="5" w:name="_Toc491379761"/>
      <w:r>
        <w:br w:type="page"/>
      </w:r>
    </w:p>
    <w:p w:rsidR="00881DF1" w:rsidRPr="008A5919" w:rsidRDefault="00881DF1" w:rsidP="00AD59CB">
      <w:pPr>
        <w:pStyle w:val="Heading1"/>
      </w:pPr>
      <w:bookmarkStart w:id="6" w:name="_Toc500139998"/>
      <w:r w:rsidRPr="008A5919">
        <w:lastRenderedPageBreak/>
        <w:t>IV</w:t>
      </w:r>
      <w:r w:rsidRPr="008A5919">
        <w:tab/>
        <w:t>Strateška pla</w:t>
      </w:r>
      <w:r w:rsidR="001F3520">
        <w:t>t</w:t>
      </w:r>
      <w:r w:rsidRPr="008A5919">
        <w:t>forma</w:t>
      </w:r>
      <w:bookmarkEnd w:id="5"/>
      <w:bookmarkEnd w:id="6"/>
    </w:p>
    <w:p w:rsidR="00881DF1" w:rsidRPr="00AB3F1A" w:rsidRDefault="00881DF1" w:rsidP="00931888">
      <w:pPr>
        <w:pStyle w:val="Heading2"/>
      </w:pPr>
      <w:bookmarkStart w:id="7" w:name="_Toc491379762"/>
      <w:bookmarkStart w:id="8" w:name="_Toc500139999"/>
      <w:r w:rsidRPr="00AB3F1A">
        <w:t>IV.1.</w:t>
      </w:r>
      <w:r w:rsidRPr="00AB3F1A">
        <w:tab/>
        <w:t>Socio-ekonomska analiza</w:t>
      </w:r>
      <w:bookmarkEnd w:id="7"/>
      <w:bookmarkEnd w:id="8"/>
    </w:p>
    <w:p w:rsidR="001F3520" w:rsidRPr="004E5B3D" w:rsidRDefault="001F3520" w:rsidP="00AD59CB">
      <w:pPr>
        <w:pStyle w:val="Heading3"/>
      </w:pPr>
      <w:bookmarkStart w:id="9" w:name="_Toc491379763"/>
      <w:bookmarkStart w:id="10" w:name="_Toc500140000"/>
      <w:r>
        <w:t>IV</w:t>
      </w:r>
      <w:bookmarkStart w:id="11" w:name="_Toc177266103"/>
      <w:bookmarkStart w:id="12" w:name="_Toc177265905"/>
      <w:bookmarkStart w:id="13" w:name="_Toc177198996"/>
      <w:bookmarkStart w:id="14" w:name="_Toc174848451"/>
      <w:bookmarkStart w:id="15" w:name="_Toc174160846"/>
      <w:bookmarkStart w:id="16" w:name="_Toc172618584"/>
      <w:bookmarkStart w:id="17" w:name="_Toc172618148"/>
      <w:bookmarkStart w:id="18" w:name="_Toc172617737"/>
      <w:r>
        <w:t>1.1. Profil lokalne zajednice</w:t>
      </w:r>
      <w:bookmarkEnd w:id="9"/>
      <w:bookmarkEnd w:id="10"/>
      <w:r>
        <w:t xml:space="preserve"> </w:t>
      </w:r>
      <w:bookmarkEnd w:id="11"/>
      <w:bookmarkEnd w:id="12"/>
      <w:bookmarkEnd w:id="13"/>
      <w:bookmarkEnd w:id="14"/>
      <w:bookmarkEnd w:id="15"/>
      <w:bookmarkEnd w:id="16"/>
      <w:bookmarkEnd w:id="17"/>
      <w:bookmarkEnd w:id="18"/>
    </w:p>
    <w:p w:rsidR="001F3520" w:rsidRDefault="001F3520" w:rsidP="00002807">
      <w:pPr>
        <w:spacing w:after="120"/>
      </w:pPr>
      <w:r>
        <w:t>Općina Kalesija se nalazi u sjeveroistočnom dijelu Bosne i Hercegovine (BiH) i pripada Tuzlanskom kantonu (TK)</w:t>
      </w:r>
      <w:r>
        <w:rPr>
          <w:rStyle w:val="FootnoteReference"/>
        </w:rPr>
        <w:footnoteReference w:id="1"/>
      </w:r>
      <w:r>
        <w:t xml:space="preserve"> Federacije Bosne i Hercegovine (FBiH). Zauzimajući površinu</w:t>
      </w:r>
      <w:r>
        <w:rPr>
          <w:rStyle w:val="FootnoteReference"/>
        </w:rPr>
        <w:footnoteReference w:id="2"/>
      </w:r>
      <w:r w:rsidRPr="006C1600">
        <w:t xml:space="preserve"> </w:t>
      </w:r>
      <w:r>
        <w:t>od 201 km², Kalesija graniči s gradom Tuzla, općinama Živinice i S</w:t>
      </w:r>
      <w:r w:rsidR="00A430AD">
        <w:t xml:space="preserve">apna u FBiH, i općinama Zvornik, Šekovići, Lopare </w:t>
      </w:r>
      <w:r>
        <w:t xml:space="preserve"> i Osmaci u Republici Srpskoj (RS). Općina je smještena uz gornji tok rijeke Spreče, na južnim obroncima planine Majevice i sjevernim rubnim dijelovima planine Javornik. Nalazi se na prosječnoj nadmorskoj visini od 270 m, a karakterizira je umjereno-kontinentalna klima s naglašenim varijacijama temperature i padavina. </w:t>
      </w:r>
    </w:p>
    <w:p w:rsidR="009B1451" w:rsidRDefault="001F3520" w:rsidP="00002807">
      <w:pPr>
        <w:spacing w:after="120"/>
      </w:pPr>
      <w:r>
        <w:t>Kroz općinu prolazi magistralni put Tuzla-Zvornik, regionalni putevi Kalesija-Živinice i Kalesija-Sapna, te željeznička pruga Tuzla-Živinice-Kalesija-Zvornik. Prirodni resursi sa kojima raspolaže općina su ugalj, nemetalni minerali, poljoprivredno zemljište i šume, koji uz racionalno korištenje mogu predstavljati važan oslonac za budući razvoj općine.</w:t>
      </w:r>
    </w:p>
    <w:p w:rsidR="00565982" w:rsidRDefault="00565982" w:rsidP="00002807">
      <w:pPr>
        <w:pStyle w:val="Heading3"/>
        <w:spacing w:before="120" w:after="120"/>
      </w:pPr>
      <w:bookmarkStart w:id="19" w:name="_Toc491379764"/>
      <w:bookmarkStart w:id="20" w:name="_Toc500140001"/>
      <w:r w:rsidRPr="00CB0198">
        <w:t>IV1.2. Demografija</w:t>
      </w:r>
      <w:bookmarkEnd w:id="19"/>
      <w:bookmarkEnd w:id="20"/>
    </w:p>
    <w:p w:rsidR="00D473CB" w:rsidRDefault="00565982" w:rsidP="00002807">
      <w:pPr>
        <w:spacing w:after="120"/>
      </w:pPr>
      <w:r>
        <w:t>Općinu Kalesija čini 28 naseljenih mjesta organizir</w:t>
      </w:r>
      <w:r w:rsidR="00A430AD">
        <w:t>anih u 22 mjesne zajednice (MZ)</w:t>
      </w:r>
      <w:r>
        <w:t xml:space="preserve">. Prema posljednjem </w:t>
      </w:r>
      <w:r w:rsidR="00674A50">
        <w:t>P</w:t>
      </w:r>
      <w:r>
        <w:t>opisu stanovništva i</w:t>
      </w:r>
      <w:r w:rsidR="00AD1E1A">
        <w:t>z 2013. godine, općina</w:t>
      </w:r>
      <w:r w:rsidR="00A430AD">
        <w:t xml:space="preserve"> ima 33.053 stanovnika, od čega 32.</w:t>
      </w:r>
      <w:r>
        <w:t xml:space="preserve">227 (97,62%) Bošnjaka, 254 (0,77%) Srba, 20 (0,06%) Hrvata, 459 (1,39%) Ostalih i 54 (0,16%) koji se ne izjašnjavaju i </w:t>
      </w:r>
      <w:r w:rsidRPr="00223A47">
        <w:t>39 nepoznato</w:t>
      </w:r>
      <w:r>
        <w:t xml:space="preserve">. </w:t>
      </w:r>
      <w:r w:rsidR="00674A50">
        <w:t xml:space="preserve">Na području općine živi </w:t>
      </w:r>
      <w:r w:rsidR="00674A50" w:rsidRPr="00297347">
        <w:t>1.537 r</w:t>
      </w:r>
      <w:r w:rsidR="00674A50">
        <w:t>aseljenih lica. Prema Popisu 2013</w:t>
      </w:r>
      <w:r w:rsidR="00674A50" w:rsidRPr="00297347">
        <w:t>, u općini ima 9.781 domaćinstavo, a prosječna veličina domaćinstva je 3,38 člana.</w:t>
      </w:r>
      <w:r w:rsidR="00674A50" w:rsidRPr="00674A50">
        <w:t xml:space="preserve"> </w:t>
      </w:r>
      <w:r w:rsidR="00674A50">
        <w:t>Trenutni broj stanovnika je za oko 20%  manji u odnosu na Popis stanovništva 1991. godine</w:t>
      </w:r>
      <w:r w:rsidR="009B1451">
        <w:t xml:space="preserve"> (</w:t>
      </w:r>
      <w:r w:rsidR="00AC2EB4">
        <w:t>g</w:t>
      </w:r>
      <w:r w:rsidR="009B1451">
        <w:t>rafikon 1)</w:t>
      </w:r>
      <w:r w:rsidR="00674A50">
        <w:t xml:space="preserve">. </w:t>
      </w:r>
    </w:p>
    <w:p w:rsidR="000A11F7" w:rsidRDefault="000A11F7" w:rsidP="00AD59CB"/>
    <w:p w:rsidR="00AD0FEF" w:rsidRDefault="00AD0FEF" w:rsidP="00194A79">
      <w:pPr>
        <w:pStyle w:val="Pitcures"/>
      </w:pPr>
      <w:r w:rsidRPr="00194A79">
        <w:drawing>
          <wp:inline distT="0" distB="0" distL="0" distR="0">
            <wp:extent cx="4321606" cy="1843430"/>
            <wp:effectExtent l="0" t="0" r="3175" b="444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C766C" w:rsidRPr="007026E6" w:rsidRDefault="002C766C" w:rsidP="00AD59CB">
      <w:pPr>
        <w:pStyle w:val="GrafiTabele"/>
      </w:pPr>
      <w:r w:rsidRPr="007026E6">
        <w:t xml:space="preserve">Grafikon </w:t>
      </w:r>
      <w:r w:rsidR="009B1451" w:rsidRPr="007026E6">
        <w:t>1</w:t>
      </w:r>
      <w:r w:rsidRPr="007026E6">
        <w:t>: Kretanje broja stanovnika u općini Kalesija u periodu 1991-2013</w:t>
      </w:r>
      <w:r w:rsidR="00272E97" w:rsidRPr="007026E6">
        <w:t>. godina</w:t>
      </w:r>
    </w:p>
    <w:p w:rsidR="00674A50" w:rsidRPr="00674A50" w:rsidRDefault="00674A50" w:rsidP="00AD59CB">
      <w:pPr>
        <w:pStyle w:val="Izvorpodataka"/>
      </w:pPr>
      <w:r w:rsidRPr="00674A50">
        <w:t>Izvor: Federalni zavod za statistiku</w:t>
      </w:r>
      <w:r w:rsidR="00272E97" w:rsidRPr="00272E97">
        <w:t xml:space="preserve"> </w:t>
      </w:r>
      <w:r w:rsidR="00272E97" w:rsidRPr="00674A50">
        <w:t xml:space="preserve">za period </w:t>
      </w:r>
      <w:r w:rsidR="00272E97">
        <w:t>(</w:t>
      </w:r>
      <w:r w:rsidR="00272E97" w:rsidRPr="00674A50">
        <w:t xml:space="preserve">1991-2006. </w:t>
      </w:r>
      <w:r w:rsidR="00272E97">
        <w:t>g</w:t>
      </w:r>
      <w:r w:rsidR="00272E97" w:rsidRPr="00674A50">
        <w:t>odina</w:t>
      </w:r>
      <w:r w:rsidR="00272E97">
        <w:t>)</w:t>
      </w:r>
      <w:r w:rsidRPr="00674A50">
        <w:t xml:space="preserve">; </w:t>
      </w:r>
      <w:r w:rsidR="00272E97" w:rsidRPr="00674A50">
        <w:t>Popis 2013.</w:t>
      </w:r>
      <w:r w:rsidR="00272E97">
        <w:t xml:space="preserve"> (2013. godina)</w:t>
      </w:r>
    </w:p>
    <w:p w:rsidR="00AD0FEF" w:rsidRDefault="004D7AF4" w:rsidP="003019A8">
      <w:pPr>
        <w:spacing w:after="240"/>
      </w:pPr>
      <w:r w:rsidRPr="009B1451">
        <w:lastRenderedPageBreak/>
        <w:t>S gustinom naseljenosti od 164 stanovnika/km², Kalesija spada u grup</w:t>
      </w:r>
      <w:r w:rsidR="007B01E3">
        <w:t xml:space="preserve">u gusto naseljenih općina u TK </w:t>
      </w:r>
      <w:r w:rsidR="009B1451">
        <w:t>(</w:t>
      </w:r>
      <w:r w:rsidR="00AC2EB4">
        <w:t>g</w:t>
      </w:r>
      <w:r w:rsidR="009B1451">
        <w:t>rafikon 2)</w:t>
      </w:r>
      <w:r w:rsidR="008528D2" w:rsidRPr="009B1451">
        <w:t>.</w:t>
      </w:r>
      <w:r w:rsidR="000A11F7" w:rsidRPr="009B1451">
        <w:t xml:space="preserve"> </w:t>
      </w:r>
      <w:r w:rsidR="009B1451" w:rsidRPr="009B1451">
        <w:t xml:space="preserve">U periodu 1991-2013. godina </w:t>
      </w:r>
      <w:r w:rsidR="007B01E3">
        <w:t>b</w:t>
      </w:r>
      <w:r w:rsidR="000A11F7" w:rsidRPr="009B1451">
        <w:t xml:space="preserve">roj stanovnika u ruralnom dijelu općine povećao </w:t>
      </w:r>
      <w:r w:rsidR="009B1451" w:rsidRPr="009B1451">
        <w:t xml:space="preserve">se </w:t>
      </w:r>
      <w:r w:rsidR="000A11F7" w:rsidRPr="009B1451">
        <w:t>za 9% (</w:t>
      </w:r>
      <w:r w:rsidR="009B1451" w:rsidRPr="009B1451">
        <w:t>sa 85% na 94%</w:t>
      </w:r>
      <w:r w:rsidR="000A11F7" w:rsidRPr="009B1451">
        <w:t>)</w:t>
      </w:r>
      <w:r w:rsidR="007B01E3">
        <w:t>, kao pos</w:t>
      </w:r>
      <w:r w:rsidR="000A11F7" w:rsidRPr="009B1451">
        <w:t>ljedica pomjeranja stanovništva u toku rata, obzirom da se veliki broj raseljenih, uglavnom iz Podrinja, trajno nastan</w:t>
      </w:r>
      <w:r w:rsidR="009B1451" w:rsidRPr="009B1451">
        <w:t>io u ruralnim dijelovima općine.</w:t>
      </w:r>
    </w:p>
    <w:p w:rsidR="004F0FAC" w:rsidRDefault="004F0FAC" w:rsidP="00194A79">
      <w:pPr>
        <w:pStyle w:val="Pitcures"/>
      </w:pPr>
      <w:r>
        <w:drawing>
          <wp:inline distT="0" distB="0" distL="0" distR="0">
            <wp:extent cx="5337861" cy="2216505"/>
            <wp:effectExtent l="0" t="0" r="15240" b="1270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F0FAC" w:rsidRDefault="009B1451" w:rsidP="00AD59CB">
      <w:pPr>
        <w:pStyle w:val="GrafiTabele"/>
      </w:pPr>
      <w:r>
        <w:t>Grafikon 2</w:t>
      </w:r>
      <w:r w:rsidR="00BB6F60" w:rsidRPr="00BB6F60">
        <w:t>:</w:t>
      </w:r>
      <w:r w:rsidR="004F0FAC" w:rsidRPr="00BB6F60">
        <w:t xml:space="preserve"> Gustina naseljenosti općina TK</w:t>
      </w:r>
    </w:p>
    <w:p w:rsidR="00674A50" w:rsidRPr="00674A50" w:rsidRDefault="00514F4D" w:rsidP="00AD59CB">
      <w:pPr>
        <w:pStyle w:val="Izvorpodataka"/>
      </w:pPr>
      <w:r>
        <w:t xml:space="preserve">Izvor: </w:t>
      </w:r>
      <w:r w:rsidRPr="00674A50">
        <w:t>: Federalni zavod za statistiku</w:t>
      </w:r>
      <w:r w:rsidRPr="00272E97">
        <w:t xml:space="preserve"> </w:t>
      </w:r>
      <w:r w:rsidRPr="00674A50">
        <w:t xml:space="preserve">za period </w:t>
      </w:r>
      <w:r>
        <w:t>(</w:t>
      </w:r>
      <w:r w:rsidRPr="00674A50">
        <w:t xml:space="preserve">1991-2006. </w:t>
      </w:r>
      <w:r>
        <w:t>g</w:t>
      </w:r>
      <w:r w:rsidRPr="00674A50">
        <w:t>odina</w:t>
      </w:r>
      <w:r>
        <w:t>)</w:t>
      </w:r>
      <w:r w:rsidRPr="00674A50">
        <w:t>; Popis 2013.</w:t>
      </w:r>
      <w:r>
        <w:t xml:space="preserve"> (2013. godina)</w:t>
      </w:r>
    </w:p>
    <w:p w:rsidR="004F0FAC" w:rsidRPr="00DF0025" w:rsidRDefault="00AD1E1A" w:rsidP="003019A8">
      <w:r>
        <w:t>U periodu između 1991. i 2013. godine</w:t>
      </w:r>
      <w:r w:rsidR="004F0FAC">
        <w:t xml:space="preserve"> </w:t>
      </w:r>
      <w:r w:rsidR="00DF0025">
        <w:t xml:space="preserve">smanjeno </w:t>
      </w:r>
      <w:r>
        <w:t xml:space="preserve">je </w:t>
      </w:r>
      <w:r w:rsidR="004F0FAC">
        <w:t>učešć</w:t>
      </w:r>
      <w:r w:rsidR="001A3DAF">
        <w:t>e</w:t>
      </w:r>
      <w:r w:rsidR="004F0FAC">
        <w:t xml:space="preserve"> stanovništva mlađe životne dobi </w:t>
      </w:r>
      <w:r w:rsidR="008E2DF0">
        <w:t xml:space="preserve">u ukupnom stanovništvu </w:t>
      </w:r>
      <w:r w:rsidR="004F0FAC">
        <w:t>(</w:t>
      </w:r>
      <w:r w:rsidR="00DF0025">
        <w:t>11% manje</w:t>
      </w:r>
      <w:r w:rsidR="008E2DF0">
        <w:t xml:space="preserve"> stanovnika u dobi</w:t>
      </w:r>
      <w:r w:rsidR="004F0FAC">
        <w:t xml:space="preserve"> 0</w:t>
      </w:r>
      <w:r w:rsidR="008E2DF0">
        <w:t>-14 godina starosti</w:t>
      </w:r>
      <w:r w:rsidR="004F0FAC">
        <w:t xml:space="preserve">), </w:t>
      </w:r>
      <w:r>
        <w:t>a udio starije populacije se povećao (</w:t>
      </w:r>
      <w:r w:rsidR="00DF0025">
        <w:t>4% više</w:t>
      </w:r>
      <w:r w:rsidR="00674A50">
        <w:t xml:space="preserve"> stanovnika </w:t>
      </w:r>
      <w:r w:rsidR="00DF0025">
        <w:t>u dobi preko</w:t>
      </w:r>
      <w:r w:rsidR="004F0FAC">
        <w:t xml:space="preserve"> 65 godina)</w:t>
      </w:r>
      <w:r w:rsidR="008E3755">
        <w:t xml:space="preserve"> (</w:t>
      </w:r>
      <w:r w:rsidR="00AC2EB4">
        <w:t>g</w:t>
      </w:r>
      <w:r w:rsidR="00BB6F60">
        <w:t xml:space="preserve">rafikoni </w:t>
      </w:r>
      <w:r w:rsidR="009B1451">
        <w:t>3</w:t>
      </w:r>
      <w:r w:rsidR="00BB6F60">
        <w:t xml:space="preserve"> i </w:t>
      </w:r>
      <w:r w:rsidR="009B1451">
        <w:t>4</w:t>
      </w:r>
      <w:r w:rsidR="008E3755">
        <w:t>)</w:t>
      </w:r>
      <w:r w:rsidR="004F0FAC">
        <w:t xml:space="preserve">. </w:t>
      </w:r>
      <w:r w:rsidR="00DF0025">
        <w:t>Trenutno</w:t>
      </w:r>
      <w:r w:rsidR="00674A50">
        <w:t>, u</w:t>
      </w:r>
      <w:r w:rsidR="004F0FAC">
        <w:t xml:space="preserve">dio stanovnika do 14 godina starosti u ukupnom stanovništvu iznosi 17%, što je  </w:t>
      </w:r>
      <w:r w:rsidR="004F0FAC" w:rsidRPr="00DF0025">
        <w:t>ispod granice koja definira reproduktivnu sposobnost stanovništva (25% stanovništva do 14 godina starosti).</w:t>
      </w:r>
      <w:r w:rsidR="008E2DF0" w:rsidRPr="00DF002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847"/>
      </w:tblGrid>
      <w:tr w:rsidR="00AD1E1A" w:rsidTr="00AD1E1A">
        <w:tc>
          <w:tcPr>
            <w:tcW w:w="4586" w:type="dxa"/>
          </w:tcPr>
          <w:p w:rsidR="00AD1E1A" w:rsidRDefault="00AD1E1A" w:rsidP="00194A79">
            <w:pPr>
              <w:pStyle w:val="Pitcures"/>
              <w:rPr>
                <w:spacing w:val="-6"/>
              </w:rPr>
            </w:pPr>
            <w:r>
              <w:drawing>
                <wp:inline distT="0" distB="0" distL="0" distR="0">
                  <wp:extent cx="2886075" cy="2066925"/>
                  <wp:effectExtent l="0" t="0" r="9525" b="95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700" w:type="dxa"/>
          </w:tcPr>
          <w:p w:rsidR="00AD1E1A" w:rsidRDefault="00AD1E1A" w:rsidP="00194A79">
            <w:pPr>
              <w:pStyle w:val="Pitcures"/>
              <w:rPr>
                <w:spacing w:val="-6"/>
              </w:rPr>
            </w:pPr>
            <w:r>
              <w:drawing>
                <wp:inline distT="0" distB="0" distL="0" distR="0">
                  <wp:extent cx="2943225" cy="2066925"/>
                  <wp:effectExtent l="0" t="0" r="28575"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AD1E1A" w:rsidTr="00AD1E1A">
        <w:tc>
          <w:tcPr>
            <w:tcW w:w="4586" w:type="dxa"/>
          </w:tcPr>
          <w:p w:rsidR="00AD1E1A" w:rsidRPr="00674A50" w:rsidRDefault="00AD1E1A" w:rsidP="00EE353E">
            <w:pPr>
              <w:pStyle w:val="GrafiTabele"/>
            </w:pPr>
            <w:r w:rsidRPr="00674A50">
              <w:t xml:space="preserve">Grafikon </w:t>
            </w:r>
            <w:r w:rsidR="009B1451">
              <w:t>3</w:t>
            </w:r>
            <w:r w:rsidRPr="00674A50">
              <w:t>. Staros</w:t>
            </w:r>
            <w:r w:rsidR="00EE353E">
              <w:t>na struktura stanovništva 1991.</w:t>
            </w:r>
          </w:p>
          <w:p w:rsidR="00674A50" w:rsidRPr="00674A50" w:rsidRDefault="00674A50" w:rsidP="00EE353E">
            <w:pPr>
              <w:pStyle w:val="Izvorpodataka"/>
              <w:rPr>
                <w:noProof/>
                <w:lang w:val="en-US"/>
              </w:rPr>
            </w:pPr>
            <w:r w:rsidRPr="00674A50">
              <w:t>Izvor: Popis 1991.</w:t>
            </w:r>
          </w:p>
        </w:tc>
        <w:tc>
          <w:tcPr>
            <w:tcW w:w="4700" w:type="dxa"/>
          </w:tcPr>
          <w:p w:rsidR="00AD1E1A" w:rsidRPr="00B92514" w:rsidRDefault="00AD1E1A" w:rsidP="00EE353E">
            <w:pPr>
              <w:pStyle w:val="GrafiTabele"/>
            </w:pPr>
            <w:r w:rsidRPr="00B92514">
              <w:t xml:space="preserve">Grafikon </w:t>
            </w:r>
            <w:r w:rsidR="009B1451">
              <w:t>4</w:t>
            </w:r>
            <w:r w:rsidR="00B92514">
              <w:t>.</w:t>
            </w:r>
            <w:r w:rsidRPr="00B92514">
              <w:t xml:space="preserve"> Staros</w:t>
            </w:r>
            <w:r w:rsidR="00EE353E">
              <w:t>na struktura stanovništva 2013.</w:t>
            </w:r>
          </w:p>
          <w:p w:rsidR="00B92514" w:rsidRPr="00B92514" w:rsidRDefault="00B92514" w:rsidP="00EE353E">
            <w:pPr>
              <w:pStyle w:val="Izvorpodataka"/>
              <w:rPr>
                <w:noProof/>
                <w:lang w:val="en-US"/>
              </w:rPr>
            </w:pPr>
            <w:r w:rsidRPr="00B92514">
              <w:t>Izvor: Popis 2013.</w:t>
            </w:r>
          </w:p>
        </w:tc>
      </w:tr>
    </w:tbl>
    <w:p w:rsidR="008E3755" w:rsidRDefault="008E3755" w:rsidP="003019A8">
      <w:r>
        <w:t>Ukoliko posmatramo prirodno kretanje stanovništva u proteklom periodu, uočavamo da je u općini Kalesija prirodni priraštaj pozitivan, odnosno da je broj rođenih veći od broja umrlih</w:t>
      </w:r>
      <w:r w:rsidR="00AC2EB4">
        <w:t xml:space="preserve"> (g</w:t>
      </w:r>
      <w:r w:rsidR="009B1451">
        <w:t>rafikon 5)</w:t>
      </w:r>
      <w:r>
        <w:t xml:space="preserve">. </w:t>
      </w:r>
      <w:r w:rsidR="00AD1E1A">
        <w:t>Prosječna stopa prirodnog priraštaja u posljednje tri godine je iznosila 2,42‰, što je znatno iznad prosječne stope prirodnog priraštaja u FBiH</w:t>
      </w:r>
      <w:r w:rsidR="00AD1E1A">
        <w:rPr>
          <w:rStyle w:val="FootnoteReference"/>
        </w:rPr>
        <w:footnoteReference w:id="3"/>
      </w:r>
      <w:r w:rsidR="00AD1E1A">
        <w:t xml:space="preserve">. Uzimajući u obzir ovakvu prosječnu stopu priraštaja, ne </w:t>
      </w:r>
      <w:r w:rsidR="00AD1E1A">
        <w:lastRenderedPageBreak/>
        <w:t xml:space="preserve">uključujući potencijalne promjene broja stanovnika usljed migracija, ukupni broj stanovnika bi se u narednih pet godina trebao povećati za nešto više od 600 stanovnika. Na osnovu toga se može zaključiti da bi porast broja stanovnika mogao dovesti do određenog pritiska na postojeću infrastrukturu na području općine.  </w:t>
      </w:r>
    </w:p>
    <w:p w:rsidR="008E3755" w:rsidRDefault="008E3755" w:rsidP="00194A79">
      <w:pPr>
        <w:pStyle w:val="Pitcures"/>
      </w:pPr>
      <w:r>
        <w:drawing>
          <wp:inline distT="0" distB="0" distL="0" distR="0">
            <wp:extent cx="5485511" cy="2596896"/>
            <wp:effectExtent l="0" t="0" r="1270" b="1333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D1E1A" w:rsidRDefault="00BB6F60" w:rsidP="00AD59CB">
      <w:pPr>
        <w:pStyle w:val="GrafiTabele"/>
      </w:pPr>
      <w:r w:rsidRPr="00047F44">
        <w:t xml:space="preserve">Grafikon </w:t>
      </w:r>
      <w:r w:rsidR="009B1451">
        <w:t>5</w:t>
      </w:r>
      <w:r w:rsidR="00047F44" w:rsidRPr="00047F44">
        <w:t>.</w:t>
      </w:r>
      <w:r w:rsidR="00AD1E1A">
        <w:t>Kretanje prirordnog priraštaja u općini Kalesija u periodu 1985-2016. godina</w:t>
      </w:r>
    </w:p>
    <w:p w:rsidR="00AD1E1A" w:rsidRDefault="008F7ABB" w:rsidP="00705807">
      <w:pPr>
        <w:pStyle w:val="Izvorpodataka"/>
      </w:pPr>
      <w:r>
        <w:t>Izvo</w:t>
      </w:r>
      <w:r w:rsidR="00CD69C8">
        <w:t>r</w:t>
      </w:r>
      <w:r w:rsidR="00AD1E1A">
        <w:t>: Matična služba općine Kalesija</w:t>
      </w:r>
    </w:p>
    <w:p w:rsidR="00FE7D8A" w:rsidRPr="00D473CB" w:rsidRDefault="004B5CD2" w:rsidP="00AD59CB">
      <w:pPr>
        <w:pStyle w:val="Heading3"/>
        <w:rPr>
          <w:lang w:eastAsia="ar-SA"/>
        </w:rPr>
      </w:pPr>
      <w:bookmarkStart w:id="21" w:name="_Toc491379765"/>
      <w:bookmarkStart w:id="22" w:name="_Toc500140002"/>
      <w:r>
        <w:rPr>
          <w:lang w:eastAsia="ar-SA"/>
        </w:rPr>
        <w:t>IV1.3.</w:t>
      </w:r>
      <w:r w:rsidR="00FE7D8A" w:rsidRPr="005F5DCD">
        <w:rPr>
          <w:lang w:eastAsia="ar-SA"/>
        </w:rPr>
        <w:t xml:space="preserve"> Lokalna ekonomija</w:t>
      </w:r>
      <w:bookmarkEnd w:id="21"/>
      <w:bookmarkEnd w:id="22"/>
      <w:r w:rsidR="00FE7D8A" w:rsidRPr="005F5DCD">
        <w:rPr>
          <w:lang w:eastAsia="ar-SA"/>
        </w:rPr>
        <w:t xml:space="preserve"> </w:t>
      </w:r>
    </w:p>
    <w:p w:rsidR="005C51D1" w:rsidRPr="00ED2136" w:rsidRDefault="005C51D1" w:rsidP="00AD59CB">
      <w:pPr>
        <w:pStyle w:val="Heading4"/>
        <w:rPr>
          <w:lang w:eastAsia="ar-SA"/>
        </w:rPr>
      </w:pPr>
      <w:bookmarkStart w:id="23" w:name="_Toc500140003"/>
      <w:r w:rsidRPr="006E1AFA">
        <w:rPr>
          <w:lang w:eastAsia="ar-SA"/>
        </w:rPr>
        <w:t>Osnovni ekonomski pokazatelji</w:t>
      </w:r>
      <w:bookmarkEnd w:id="23"/>
    </w:p>
    <w:p w:rsidR="00E83C5A" w:rsidRDefault="00FE7D8A" w:rsidP="00002807">
      <w:pPr>
        <w:rPr>
          <w:lang w:val="hr-HR" w:eastAsia="ar-SA"/>
        </w:rPr>
      </w:pPr>
      <w:r w:rsidRPr="005F5DCD">
        <w:rPr>
          <w:lang w:val="hr-HR" w:eastAsia="ar-SA"/>
        </w:rPr>
        <w:t>Analiza socio-ekonomskog razvoja općina</w:t>
      </w:r>
      <w:r w:rsidRPr="005F5DCD">
        <w:rPr>
          <w:vertAlign w:val="superscript"/>
          <w:lang w:val="hr-HR" w:eastAsia="ar-SA"/>
        </w:rPr>
        <w:footnoteReference w:id="4"/>
      </w:r>
      <w:r>
        <w:rPr>
          <w:lang w:val="hr-HR" w:eastAsia="ar-SA"/>
        </w:rPr>
        <w:t xml:space="preserve"> </w:t>
      </w:r>
      <w:r w:rsidRPr="005F5DCD">
        <w:rPr>
          <w:lang w:val="hr-HR" w:eastAsia="ar-SA"/>
        </w:rPr>
        <w:t>Federalnog zavoda za programiran</w:t>
      </w:r>
      <w:r>
        <w:rPr>
          <w:lang w:val="hr-HR" w:eastAsia="ar-SA"/>
        </w:rPr>
        <w:t>j</w:t>
      </w:r>
      <w:r w:rsidRPr="005F5DCD">
        <w:rPr>
          <w:lang w:val="hr-HR" w:eastAsia="ar-SA"/>
        </w:rPr>
        <w:t>e razvoja svrstava općinu Kalesija među razvijene općine u F</w:t>
      </w:r>
      <w:r w:rsidR="00045238">
        <w:rPr>
          <w:lang w:val="hr-HR" w:eastAsia="ar-SA"/>
        </w:rPr>
        <w:t>B</w:t>
      </w:r>
      <w:r w:rsidRPr="005F5DCD">
        <w:rPr>
          <w:lang w:val="hr-HR" w:eastAsia="ar-SA"/>
        </w:rPr>
        <w:t>iH</w:t>
      </w:r>
      <w:r>
        <w:rPr>
          <w:lang w:val="hr-HR" w:eastAsia="ar-SA"/>
        </w:rPr>
        <w:t>. I</w:t>
      </w:r>
      <w:r w:rsidRPr="005F5DCD">
        <w:rPr>
          <w:lang w:val="hr-HR" w:eastAsia="ar-SA"/>
        </w:rPr>
        <w:t>ndeks razvijenosti općine Kalesija iznosi 86,3</w:t>
      </w:r>
      <w:r>
        <w:rPr>
          <w:rStyle w:val="FootnoteReference"/>
          <w:lang w:val="hr-HR" w:eastAsia="ar-SA"/>
        </w:rPr>
        <w:footnoteReference w:id="5"/>
      </w:r>
      <w:r w:rsidR="00AC2EB4">
        <w:rPr>
          <w:lang w:val="hr-HR" w:eastAsia="ar-SA"/>
        </w:rPr>
        <w:t xml:space="preserve"> (tabela 1)</w:t>
      </w:r>
      <w:r w:rsidRPr="005F5DCD">
        <w:rPr>
          <w:lang w:val="hr-HR" w:eastAsia="ar-SA"/>
        </w:rPr>
        <w:t>. Općina Kalesija je prije rata imala status nerazvijene općine, tako da se može reći da je današnje stanje mnogo bolje</w:t>
      </w:r>
      <w:r>
        <w:rPr>
          <w:lang w:val="hr-HR" w:eastAsia="ar-SA"/>
        </w:rPr>
        <w:t>,</w:t>
      </w:r>
      <w:r w:rsidR="00432CB6">
        <w:rPr>
          <w:lang w:val="hr-HR" w:eastAsia="ar-SA"/>
        </w:rPr>
        <w:t xml:space="preserve"> jer je općina Kalesija </w:t>
      </w:r>
      <w:r w:rsidRPr="005F5DCD">
        <w:rPr>
          <w:lang w:val="hr-HR" w:eastAsia="ar-SA"/>
        </w:rPr>
        <w:t>rangirana kao 40-</w:t>
      </w:r>
      <w:r w:rsidR="008F391B">
        <w:rPr>
          <w:lang w:val="hr-HR" w:eastAsia="ar-SA"/>
        </w:rPr>
        <w:t>ta po rangu razvijenosti općinam</w:t>
      </w:r>
      <w:r w:rsidRPr="005F5DCD">
        <w:rPr>
          <w:lang w:val="hr-HR" w:eastAsia="ar-SA"/>
        </w:rPr>
        <w:t>a u Fedaraciji Bosne i Hercegovine.</w:t>
      </w:r>
    </w:p>
    <w:p w:rsidR="00A33CF8" w:rsidRPr="00E7341C" w:rsidRDefault="00D26304" w:rsidP="00AD59CB">
      <w:pPr>
        <w:pStyle w:val="GrafiTabele"/>
      </w:pPr>
      <w:r w:rsidRPr="00E7341C">
        <w:t xml:space="preserve">Tabela </w:t>
      </w:r>
      <w:r w:rsidR="00AC2EB4">
        <w:t>1</w:t>
      </w:r>
      <w:r w:rsidRPr="00E7341C">
        <w:t>:</w:t>
      </w:r>
      <w:r w:rsidR="00A33CF8" w:rsidRPr="00E7341C">
        <w:t xml:space="preserve"> Nivo razvijenosti </w:t>
      </w:r>
      <w:r w:rsidR="00E7341C" w:rsidRPr="00E7341C">
        <w:t>TK</w:t>
      </w:r>
      <w:r w:rsidR="00A33CF8" w:rsidRPr="00E7341C">
        <w:t xml:space="preserve"> po općinama u 2016</w:t>
      </w:r>
      <w:r w:rsidR="00AC2EB4">
        <w:t>.</w:t>
      </w:r>
      <w:r w:rsidR="00A33CF8" w:rsidRPr="00E7341C">
        <w:t xml:space="preserve"> godini</w:t>
      </w:r>
    </w:p>
    <w:tbl>
      <w:tblPr>
        <w:tblStyle w:val="TableGrid"/>
        <w:tblW w:w="0" w:type="auto"/>
        <w:jc w:val="center"/>
        <w:tblLayout w:type="fixed"/>
        <w:tblLook w:val="0000" w:firstRow="0" w:lastRow="0" w:firstColumn="0" w:lastColumn="0" w:noHBand="0" w:noVBand="0"/>
      </w:tblPr>
      <w:tblGrid>
        <w:gridCol w:w="2176"/>
        <w:gridCol w:w="2177"/>
        <w:gridCol w:w="2177"/>
        <w:gridCol w:w="2177"/>
      </w:tblGrid>
      <w:tr w:rsidR="00336586" w:rsidRPr="00E7341C" w:rsidTr="00E7341C">
        <w:trPr>
          <w:jc w:val="center"/>
        </w:trPr>
        <w:tc>
          <w:tcPr>
            <w:tcW w:w="2176" w:type="dxa"/>
            <w:shd w:val="clear" w:color="auto" w:fill="D9D9D9" w:themeFill="background1" w:themeFillShade="D9"/>
            <w:vAlign w:val="center"/>
          </w:tcPr>
          <w:p w:rsidR="00336586" w:rsidRPr="00E7341C" w:rsidRDefault="00336586" w:rsidP="000952A9">
            <w:pPr>
              <w:spacing w:before="20" w:after="20"/>
              <w:jc w:val="center"/>
              <w:rPr>
                <w:b/>
                <w:szCs w:val="22"/>
                <w:lang w:val="hr-HR" w:eastAsia="ar-SA"/>
              </w:rPr>
            </w:pPr>
            <w:r w:rsidRPr="00E7341C">
              <w:rPr>
                <w:b/>
                <w:szCs w:val="22"/>
                <w:lang w:val="hr-HR" w:eastAsia="ar-SA"/>
              </w:rPr>
              <w:t>Općine</w:t>
            </w:r>
          </w:p>
        </w:tc>
        <w:tc>
          <w:tcPr>
            <w:tcW w:w="2177" w:type="dxa"/>
            <w:shd w:val="clear" w:color="auto" w:fill="D9D9D9" w:themeFill="background1" w:themeFillShade="D9"/>
            <w:vAlign w:val="center"/>
          </w:tcPr>
          <w:p w:rsidR="00336586" w:rsidRPr="00E7341C" w:rsidRDefault="00336586" w:rsidP="000952A9">
            <w:pPr>
              <w:spacing w:before="20" w:after="20"/>
              <w:jc w:val="center"/>
              <w:rPr>
                <w:b/>
                <w:szCs w:val="22"/>
                <w:lang w:val="hr-HR" w:eastAsia="ar-SA"/>
              </w:rPr>
            </w:pPr>
            <w:r w:rsidRPr="00E7341C">
              <w:rPr>
                <w:b/>
                <w:szCs w:val="22"/>
                <w:lang w:val="hr-HR" w:eastAsia="ar-SA"/>
              </w:rPr>
              <w:t>Stepan zaposlenosti u %</w:t>
            </w:r>
          </w:p>
        </w:tc>
        <w:tc>
          <w:tcPr>
            <w:tcW w:w="2177" w:type="dxa"/>
            <w:shd w:val="clear" w:color="auto" w:fill="D9D9D9" w:themeFill="background1" w:themeFillShade="D9"/>
            <w:vAlign w:val="center"/>
          </w:tcPr>
          <w:p w:rsidR="00336586" w:rsidRPr="00E7341C" w:rsidRDefault="00A473D6" w:rsidP="000952A9">
            <w:pPr>
              <w:spacing w:before="20" w:after="20"/>
              <w:jc w:val="center"/>
              <w:rPr>
                <w:b/>
                <w:szCs w:val="22"/>
                <w:lang w:val="hr-HR" w:eastAsia="ar-SA"/>
              </w:rPr>
            </w:pPr>
            <w:r w:rsidRPr="00E7341C">
              <w:rPr>
                <w:b/>
                <w:szCs w:val="22"/>
                <w:lang w:val="hr-HR" w:eastAsia="ar-SA"/>
              </w:rPr>
              <w:t xml:space="preserve">Stepen nezaposlenosti </w:t>
            </w:r>
            <w:r w:rsidR="00336586" w:rsidRPr="00E7341C">
              <w:rPr>
                <w:b/>
                <w:szCs w:val="22"/>
                <w:lang w:val="hr-HR" w:eastAsia="ar-SA"/>
              </w:rPr>
              <w:t>u %</w:t>
            </w:r>
          </w:p>
        </w:tc>
        <w:tc>
          <w:tcPr>
            <w:tcW w:w="2177" w:type="dxa"/>
            <w:shd w:val="clear" w:color="auto" w:fill="D9D9D9" w:themeFill="background1" w:themeFillShade="D9"/>
            <w:vAlign w:val="center"/>
          </w:tcPr>
          <w:p w:rsidR="00336586" w:rsidRPr="00E7341C" w:rsidRDefault="00336586" w:rsidP="000952A9">
            <w:pPr>
              <w:spacing w:before="20" w:after="20"/>
              <w:jc w:val="center"/>
              <w:rPr>
                <w:b/>
                <w:szCs w:val="22"/>
                <w:lang w:val="hr-HR" w:eastAsia="ar-SA"/>
              </w:rPr>
            </w:pPr>
            <w:r w:rsidRPr="00E7341C">
              <w:rPr>
                <w:b/>
                <w:szCs w:val="22"/>
                <w:lang w:val="hr-HR" w:eastAsia="ar-SA"/>
              </w:rPr>
              <w:t>Indeks razvijenosti</w:t>
            </w:r>
          </w:p>
        </w:tc>
      </w:tr>
      <w:tr w:rsidR="00336586" w:rsidRPr="00E7341C" w:rsidTr="00E7341C">
        <w:trPr>
          <w:jc w:val="center"/>
        </w:trPr>
        <w:tc>
          <w:tcPr>
            <w:tcW w:w="2176" w:type="dxa"/>
            <w:shd w:val="clear" w:color="auto" w:fill="FFFFFF" w:themeFill="background1"/>
          </w:tcPr>
          <w:p w:rsidR="00336586" w:rsidRPr="00E7341C" w:rsidRDefault="00336586" w:rsidP="000952A9">
            <w:pPr>
              <w:spacing w:before="20" w:after="20"/>
              <w:rPr>
                <w:szCs w:val="22"/>
                <w:lang w:val="hr-HR" w:eastAsia="ar-SA"/>
              </w:rPr>
            </w:pPr>
            <w:r w:rsidRPr="00E7341C">
              <w:rPr>
                <w:szCs w:val="22"/>
                <w:lang w:val="hr-HR" w:eastAsia="ar-SA"/>
              </w:rPr>
              <w:t xml:space="preserve">Banovići </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20.2</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50.8</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109.6</w:t>
            </w:r>
          </w:p>
        </w:tc>
      </w:tr>
      <w:tr w:rsidR="00336586" w:rsidRPr="00E7341C" w:rsidTr="00E7341C">
        <w:trPr>
          <w:jc w:val="center"/>
        </w:trPr>
        <w:tc>
          <w:tcPr>
            <w:tcW w:w="2176" w:type="dxa"/>
            <w:shd w:val="clear" w:color="auto" w:fill="FFFFFF" w:themeFill="background1"/>
          </w:tcPr>
          <w:p w:rsidR="00336586" w:rsidRPr="00E7341C" w:rsidRDefault="00336586" w:rsidP="000952A9">
            <w:pPr>
              <w:spacing w:before="20" w:after="20"/>
              <w:rPr>
                <w:szCs w:val="22"/>
                <w:lang w:val="hr-HR" w:eastAsia="ar-SA"/>
              </w:rPr>
            </w:pPr>
            <w:r w:rsidRPr="00E7341C">
              <w:rPr>
                <w:szCs w:val="22"/>
                <w:lang w:val="hr-HR" w:eastAsia="ar-SA"/>
              </w:rPr>
              <w:t xml:space="preserve">Čelić </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6.8</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74.7</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85.8</w:t>
            </w:r>
          </w:p>
        </w:tc>
      </w:tr>
      <w:tr w:rsidR="00336586" w:rsidRPr="00E7341C" w:rsidTr="00E7341C">
        <w:trPr>
          <w:jc w:val="center"/>
        </w:trPr>
        <w:tc>
          <w:tcPr>
            <w:tcW w:w="2176" w:type="dxa"/>
            <w:shd w:val="clear" w:color="auto" w:fill="FFFFFF" w:themeFill="background1"/>
          </w:tcPr>
          <w:p w:rsidR="00336586" w:rsidRPr="00E7341C" w:rsidRDefault="00336586" w:rsidP="000952A9">
            <w:pPr>
              <w:spacing w:before="20" w:after="20"/>
              <w:rPr>
                <w:szCs w:val="22"/>
                <w:lang w:val="hr-HR" w:eastAsia="ar-SA"/>
              </w:rPr>
            </w:pPr>
            <w:r w:rsidRPr="00E7341C">
              <w:rPr>
                <w:szCs w:val="22"/>
                <w:lang w:val="hr-HR" w:eastAsia="ar-SA"/>
              </w:rPr>
              <w:t>Doboj istok</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16.0</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61.0</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99.1</w:t>
            </w:r>
          </w:p>
        </w:tc>
      </w:tr>
      <w:tr w:rsidR="00336586" w:rsidRPr="00E7341C" w:rsidTr="00E7341C">
        <w:trPr>
          <w:jc w:val="center"/>
        </w:trPr>
        <w:tc>
          <w:tcPr>
            <w:tcW w:w="2176" w:type="dxa"/>
            <w:shd w:val="clear" w:color="auto" w:fill="FFFFFF" w:themeFill="background1"/>
          </w:tcPr>
          <w:p w:rsidR="00336586" w:rsidRPr="00E7341C" w:rsidRDefault="00336586" w:rsidP="000952A9">
            <w:pPr>
              <w:spacing w:before="20" w:after="20"/>
              <w:rPr>
                <w:szCs w:val="22"/>
                <w:lang w:val="hr-HR" w:eastAsia="ar-SA"/>
              </w:rPr>
            </w:pPr>
            <w:r w:rsidRPr="00E7341C">
              <w:rPr>
                <w:szCs w:val="22"/>
                <w:lang w:val="hr-HR" w:eastAsia="ar-SA"/>
              </w:rPr>
              <w:t>Gračanica</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17.3</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50.6</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118.5</w:t>
            </w:r>
          </w:p>
        </w:tc>
      </w:tr>
      <w:tr w:rsidR="00336586" w:rsidRPr="00E7341C" w:rsidTr="00E7341C">
        <w:trPr>
          <w:jc w:val="center"/>
        </w:trPr>
        <w:tc>
          <w:tcPr>
            <w:tcW w:w="2176" w:type="dxa"/>
            <w:shd w:val="clear" w:color="auto" w:fill="FFFFFF" w:themeFill="background1"/>
          </w:tcPr>
          <w:p w:rsidR="00336586" w:rsidRPr="00E7341C" w:rsidRDefault="00336586" w:rsidP="000952A9">
            <w:pPr>
              <w:spacing w:before="20" w:after="20"/>
              <w:rPr>
                <w:szCs w:val="22"/>
                <w:lang w:val="hr-HR" w:eastAsia="ar-SA"/>
              </w:rPr>
            </w:pPr>
            <w:r w:rsidRPr="00E7341C">
              <w:rPr>
                <w:szCs w:val="22"/>
                <w:lang w:val="hr-HR" w:eastAsia="ar-SA"/>
              </w:rPr>
              <w:t xml:space="preserve">Gradačac </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15.9</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50.6</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114.9</w:t>
            </w:r>
          </w:p>
        </w:tc>
      </w:tr>
      <w:tr w:rsidR="00336586" w:rsidRPr="00EE353E" w:rsidTr="00E7341C">
        <w:trPr>
          <w:jc w:val="center"/>
        </w:trPr>
        <w:tc>
          <w:tcPr>
            <w:tcW w:w="2176" w:type="dxa"/>
            <w:shd w:val="clear" w:color="auto" w:fill="FFFFFF" w:themeFill="background1"/>
          </w:tcPr>
          <w:p w:rsidR="00336586" w:rsidRPr="00EE353E" w:rsidRDefault="00336586" w:rsidP="000952A9">
            <w:pPr>
              <w:spacing w:before="20" w:after="20"/>
              <w:rPr>
                <w:b/>
                <w:szCs w:val="22"/>
                <w:lang w:val="hr-HR" w:eastAsia="ar-SA"/>
              </w:rPr>
            </w:pPr>
            <w:r w:rsidRPr="00EE353E">
              <w:rPr>
                <w:b/>
                <w:szCs w:val="22"/>
                <w:lang w:val="hr-HR" w:eastAsia="ar-SA"/>
              </w:rPr>
              <w:t xml:space="preserve">Kalesija </w:t>
            </w:r>
          </w:p>
        </w:tc>
        <w:tc>
          <w:tcPr>
            <w:tcW w:w="2177" w:type="dxa"/>
            <w:shd w:val="clear" w:color="auto" w:fill="FFFFFF" w:themeFill="background1"/>
          </w:tcPr>
          <w:p w:rsidR="00336586" w:rsidRPr="00EE353E" w:rsidRDefault="00336586" w:rsidP="000952A9">
            <w:pPr>
              <w:spacing w:before="20" w:after="20"/>
              <w:jc w:val="center"/>
              <w:rPr>
                <w:b/>
                <w:szCs w:val="22"/>
                <w:lang w:val="hr-HR" w:eastAsia="ar-SA"/>
              </w:rPr>
            </w:pPr>
            <w:r w:rsidRPr="00EE353E">
              <w:rPr>
                <w:b/>
                <w:szCs w:val="22"/>
                <w:lang w:val="hr-HR" w:eastAsia="ar-SA"/>
              </w:rPr>
              <w:t>9.7</w:t>
            </w:r>
          </w:p>
        </w:tc>
        <w:tc>
          <w:tcPr>
            <w:tcW w:w="2177" w:type="dxa"/>
            <w:shd w:val="clear" w:color="auto" w:fill="FFFFFF" w:themeFill="background1"/>
          </w:tcPr>
          <w:p w:rsidR="00336586" w:rsidRPr="00EE353E" w:rsidRDefault="00336586" w:rsidP="000952A9">
            <w:pPr>
              <w:spacing w:before="20" w:after="20"/>
              <w:jc w:val="center"/>
              <w:rPr>
                <w:b/>
                <w:szCs w:val="22"/>
                <w:lang w:val="hr-HR" w:eastAsia="ar-SA"/>
              </w:rPr>
            </w:pPr>
            <w:r w:rsidRPr="00EE353E">
              <w:rPr>
                <w:b/>
                <w:szCs w:val="22"/>
                <w:lang w:val="hr-HR" w:eastAsia="ar-SA"/>
              </w:rPr>
              <w:t>71.4</w:t>
            </w:r>
          </w:p>
        </w:tc>
        <w:tc>
          <w:tcPr>
            <w:tcW w:w="2177" w:type="dxa"/>
            <w:shd w:val="clear" w:color="auto" w:fill="FFFFFF" w:themeFill="background1"/>
          </w:tcPr>
          <w:p w:rsidR="00336586" w:rsidRPr="00EE353E" w:rsidRDefault="00336586" w:rsidP="000952A9">
            <w:pPr>
              <w:spacing w:before="20" w:after="20"/>
              <w:jc w:val="center"/>
              <w:rPr>
                <w:b/>
                <w:szCs w:val="22"/>
                <w:lang w:val="hr-HR" w:eastAsia="ar-SA"/>
              </w:rPr>
            </w:pPr>
            <w:r w:rsidRPr="00EE353E">
              <w:rPr>
                <w:b/>
                <w:szCs w:val="22"/>
                <w:lang w:val="hr-HR" w:eastAsia="ar-SA"/>
              </w:rPr>
              <w:t>86.3</w:t>
            </w:r>
          </w:p>
        </w:tc>
      </w:tr>
      <w:tr w:rsidR="00336586" w:rsidRPr="00E7341C" w:rsidTr="00E7341C">
        <w:trPr>
          <w:jc w:val="center"/>
        </w:trPr>
        <w:tc>
          <w:tcPr>
            <w:tcW w:w="2176" w:type="dxa"/>
            <w:shd w:val="clear" w:color="auto" w:fill="FFFFFF" w:themeFill="background1"/>
          </w:tcPr>
          <w:p w:rsidR="00336586" w:rsidRPr="00E7341C" w:rsidRDefault="00336586" w:rsidP="000952A9">
            <w:pPr>
              <w:spacing w:before="20" w:after="20"/>
              <w:rPr>
                <w:szCs w:val="22"/>
                <w:lang w:val="hr-HR" w:eastAsia="ar-SA"/>
              </w:rPr>
            </w:pPr>
            <w:r w:rsidRPr="00E7341C">
              <w:rPr>
                <w:szCs w:val="22"/>
                <w:lang w:val="hr-HR" w:eastAsia="ar-SA"/>
              </w:rPr>
              <w:t xml:space="preserve">Kladanj </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13.7</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58.5</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82.3</w:t>
            </w:r>
          </w:p>
        </w:tc>
      </w:tr>
      <w:tr w:rsidR="00336586" w:rsidRPr="00E7341C" w:rsidTr="00E7341C">
        <w:trPr>
          <w:jc w:val="center"/>
        </w:trPr>
        <w:tc>
          <w:tcPr>
            <w:tcW w:w="2176" w:type="dxa"/>
            <w:shd w:val="clear" w:color="auto" w:fill="FFFFFF" w:themeFill="background1"/>
          </w:tcPr>
          <w:p w:rsidR="00336586" w:rsidRPr="00E7341C" w:rsidRDefault="00336586" w:rsidP="000952A9">
            <w:pPr>
              <w:spacing w:before="20" w:after="20"/>
              <w:rPr>
                <w:szCs w:val="22"/>
                <w:lang w:val="hr-HR" w:eastAsia="ar-SA"/>
              </w:rPr>
            </w:pPr>
            <w:r w:rsidRPr="00E7341C">
              <w:rPr>
                <w:szCs w:val="22"/>
                <w:lang w:val="hr-HR" w:eastAsia="ar-SA"/>
              </w:rPr>
              <w:t xml:space="preserve">Lukavac </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16.5</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56.3</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92.0</w:t>
            </w:r>
          </w:p>
        </w:tc>
      </w:tr>
      <w:tr w:rsidR="00336586" w:rsidRPr="00E7341C" w:rsidTr="00E7341C">
        <w:trPr>
          <w:jc w:val="center"/>
        </w:trPr>
        <w:tc>
          <w:tcPr>
            <w:tcW w:w="2176" w:type="dxa"/>
            <w:shd w:val="clear" w:color="auto" w:fill="FFFFFF" w:themeFill="background1"/>
          </w:tcPr>
          <w:p w:rsidR="00336586" w:rsidRPr="00E7341C" w:rsidRDefault="00336586" w:rsidP="000952A9">
            <w:pPr>
              <w:spacing w:before="20" w:after="20"/>
              <w:rPr>
                <w:szCs w:val="22"/>
                <w:lang w:val="hr-HR" w:eastAsia="ar-SA"/>
              </w:rPr>
            </w:pPr>
            <w:r w:rsidRPr="00E7341C">
              <w:rPr>
                <w:szCs w:val="22"/>
                <w:lang w:val="hr-HR" w:eastAsia="ar-SA"/>
              </w:rPr>
              <w:t xml:space="preserve">Sapna </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4.7</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81.1</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59.0</w:t>
            </w:r>
          </w:p>
        </w:tc>
      </w:tr>
      <w:tr w:rsidR="00336586" w:rsidRPr="00E7341C" w:rsidTr="00E7341C">
        <w:trPr>
          <w:jc w:val="center"/>
        </w:trPr>
        <w:tc>
          <w:tcPr>
            <w:tcW w:w="2176" w:type="dxa"/>
            <w:shd w:val="clear" w:color="auto" w:fill="FFFFFF" w:themeFill="background1"/>
          </w:tcPr>
          <w:p w:rsidR="00336586" w:rsidRPr="00E7341C" w:rsidRDefault="00336586" w:rsidP="000952A9">
            <w:pPr>
              <w:spacing w:before="20" w:after="20"/>
              <w:rPr>
                <w:szCs w:val="22"/>
                <w:lang w:val="hr-HR" w:eastAsia="ar-SA"/>
              </w:rPr>
            </w:pPr>
            <w:r w:rsidRPr="00E7341C">
              <w:rPr>
                <w:szCs w:val="22"/>
                <w:lang w:val="hr-HR" w:eastAsia="ar-SA"/>
              </w:rPr>
              <w:lastRenderedPageBreak/>
              <w:t xml:space="preserve">Srebrenik </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11.8</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63.7</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95.6</w:t>
            </w:r>
          </w:p>
        </w:tc>
      </w:tr>
      <w:tr w:rsidR="00336586" w:rsidRPr="00E7341C" w:rsidTr="00E7341C">
        <w:trPr>
          <w:jc w:val="center"/>
        </w:trPr>
        <w:tc>
          <w:tcPr>
            <w:tcW w:w="2176" w:type="dxa"/>
            <w:shd w:val="clear" w:color="auto" w:fill="FFFFFF" w:themeFill="background1"/>
          </w:tcPr>
          <w:p w:rsidR="00336586" w:rsidRPr="00E7341C" w:rsidRDefault="00336586" w:rsidP="000952A9">
            <w:pPr>
              <w:spacing w:before="20" w:after="20"/>
              <w:rPr>
                <w:szCs w:val="22"/>
                <w:lang w:val="hr-HR" w:eastAsia="ar-SA"/>
              </w:rPr>
            </w:pPr>
            <w:r w:rsidRPr="00E7341C">
              <w:rPr>
                <w:szCs w:val="22"/>
                <w:lang w:val="hr-HR" w:eastAsia="ar-SA"/>
              </w:rPr>
              <w:t xml:space="preserve">Teočak </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6.1</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80.0</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48.7</w:t>
            </w:r>
          </w:p>
        </w:tc>
      </w:tr>
      <w:tr w:rsidR="00336586" w:rsidRPr="00E7341C" w:rsidTr="00E7341C">
        <w:trPr>
          <w:jc w:val="center"/>
        </w:trPr>
        <w:tc>
          <w:tcPr>
            <w:tcW w:w="2176" w:type="dxa"/>
            <w:shd w:val="clear" w:color="auto" w:fill="FFFFFF" w:themeFill="background1"/>
          </w:tcPr>
          <w:p w:rsidR="00336586" w:rsidRPr="00E7341C" w:rsidRDefault="00336586" w:rsidP="000952A9">
            <w:pPr>
              <w:spacing w:before="20" w:after="20"/>
              <w:rPr>
                <w:szCs w:val="22"/>
                <w:lang w:val="hr-HR" w:eastAsia="ar-SA"/>
              </w:rPr>
            </w:pPr>
            <w:r w:rsidRPr="00E7341C">
              <w:rPr>
                <w:szCs w:val="22"/>
                <w:lang w:val="hr-HR" w:eastAsia="ar-SA"/>
              </w:rPr>
              <w:t xml:space="preserve">Tuzla </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23.6</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39.3</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129.7</w:t>
            </w:r>
          </w:p>
        </w:tc>
      </w:tr>
      <w:tr w:rsidR="00336586" w:rsidRPr="00E7341C" w:rsidTr="00E7341C">
        <w:trPr>
          <w:jc w:val="center"/>
        </w:trPr>
        <w:tc>
          <w:tcPr>
            <w:tcW w:w="2176" w:type="dxa"/>
            <w:shd w:val="clear" w:color="auto" w:fill="FFFFFF" w:themeFill="background1"/>
          </w:tcPr>
          <w:p w:rsidR="00336586" w:rsidRPr="00E7341C" w:rsidRDefault="00336586" w:rsidP="000952A9">
            <w:pPr>
              <w:spacing w:before="20" w:after="20"/>
              <w:rPr>
                <w:szCs w:val="22"/>
                <w:lang w:val="hr-HR" w:eastAsia="ar-SA"/>
              </w:rPr>
            </w:pPr>
            <w:r w:rsidRPr="00E7341C">
              <w:rPr>
                <w:szCs w:val="22"/>
                <w:lang w:val="hr-HR" w:eastAsia="ar-SA"/>
              </w:rPr>
              <w:t xml:space="preserve">Živinice </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15.1</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61.6</w:t>
            </w:r>
          </w:p>
        </w:tc>
        <w:tc>
          <w:tcPr>
            <w:tcW w:w="2177" w:type="dxa"/>
            <w:shd w:val="clear" w:color="auto" w:fill="FFFFFF" w:themeFill="background1"/>
          </w:tcPr>
          <w:p w:rsidR="00336586" w:rsidRPr="00E7341C" w:rsidRDefault="00336586" w:rsidP="000952A9">
            <w:pPr>
              <w:spacing w:before="20" w:after="20"/>
              <w:jc w:val="center"/>
              <w:rPr>
                <w:szCs w:val="22"/>
                <w:lang w:val="hr-HR" w:eastAsia="ar-SA"/>
              </w:rPr>
            </w:pPr>
            <w:r w:rsidRPr="00E7341C">
              <w:rPr>
                <w:szCs w:val="22"/>
                <w:lang w:val="hr-HR" w:eastAsia="ar-SA"/>
              </w:rPr>
              <w:t>104.2</w:t>
            </w:r>
          </w:p>
        </w:tc>
      </w:tr>
      <w:tr w:rsidR="00336586" w:rsidRPr="00E7341C" w:rsidTr="00E7341C">
        <w:trPr>
          <w:jc w:val="center"/>
        </w:trPr>
        <w:tc>
          <w:tcPr>
            <w:tcW w:w="2176" w:type="dxa"/>
            <w:shd w:val="clear" w:color="auto" w:fill="D9D9D9" w:themeFill="background1" w:themeFillShade="D9"/>
          </w:tcPr>
          <w:p w:rsidR="00336586" w:rsidRPr="00E7341C" w:rsidRDefault="00336586" w:rsidP="000952A9">
            <w:pPr>
              <w:spacing w:before="20" w:after="20"/>
              <w:rPr>
                <w:b/>
                <w:szCs w:val="22"/>
                <w:lang w:val="hr-HR" w:eastAsia="ar-SA"/>
              </w:rPr>
            </w:pPr>
            <w:r w:rsidRPr="00E7341C">
              <w:rPr>
                <w:b/>
                <w:szCs w:val="22"/>
                <w:lang w:val="hr-HR" w:eastAsia="ar-SA"/>
              </w:rPr>
              <w:t>TK</w:t>
            </w:r>
          </w:p>
        </w:tc>
        <w:tc>
          <w:tcPr>
            <w:tcW w:w="2177" w:type="dxa"/>
            <w:shd w:val="clear" w:color="auto" w:fill="D9D9D9" w:themeFill="background1" w:themeFillShade="D9"/>
          </w:tcPr>
          <w:p w:rsidR="00336586" w:rsidRPr="00E7341C" w:rsidRDefault="00336586" w:rsidP="000952A9">
            <w:pPr>
              <w:spacing w:before="20" w:after="20"/>
              <w:jc w:val="center"/>
              <w:rPr>
                <w:b/>
                <w:szCs w:val="22"/>
                <w:lang w:val="hr-HR" w:eastAsia="ar-SA"/>
              </w:rPr>
            </w:pPr>
            <w:r w:rsidRPr="00E7341C">
              <w:rPr>
                <w:b/>
                <w:szCs w:val="22"/>
                <w:lang w:val="hr-HR" w:eastAsia="ar-SA"/>
              </w:rPr>
              <w:t>16.7</w:t>
            </w:r>
          </w:p>
        </w:tc>
        <w:tc>
          <w:tcPr>
            <w:tcW w:w="2177" w:type="dxa"/>
            <w:shd w:val="clear" w:color="auto" w:fill="D9D9D9" w:themeFill="background1" w:themeFillShade="D9"/>
          </w:tcPr>
          <w:p w:rsidR="00336586" w:rsidRPr="00E7341C" w:rsidRDefault="00336586" w:rsidP="000952A9">
            <w:pPr>
              <w:spacing w:before="20" w:after="20"/>
              <w:jc w:val="center"/>
              <w:rPr>
                <w:b/>
                <w:szCs w:val="22"/>
                <w:lang w:val="hr-HR" w:eastAsia="ar-SA"/>
              </w:rPr>
            </w:pPr>
            <w:r w:rsidRPr="00E7341C">
              <w:rPr>
                <w:b/>
                <w:szCs w:val="22"/>
                <w:lang w:val="hr-HR" w:eastAsia="ar-SA"/>
              </w:rPr>
              <w:t>53.6</w:t>
            </w:r>
          </w:p>
        </w:tc>
        <w:tc>
          <w:tcPr>
            <w:tcW w:w="2177" w:type="dxa"/>
            <w:shd w:val="clear" w:color="auto" w:fill="D9D9D9" w:themeFill="background1" w:themeFillShade="D9"/>
          </w:tcPr>
          <w:p w:rsidR="00336586" w:rsidRPr="00E7341C" w:rsidRDefault="00336586" w:rsidP="000952A9">
            <w:pPr>
              <w:spacing w:before="20" w:after="20"/>
              <w:jc w:val="center"/>
              <w:rPr>
                <w:b/>
                <w:szCs w:val="22"/>
                <w:lang w:val="hr-HR" w:eastAsia="ar-SA"/>
              </w:rPr>
            </w:pPr>
            <w:r w:rsidRPr="00E7341C">
              <w:rPr>
                <w:b/>
                <w:szCs w:val="22"/>
                <w:lang w:val="hr-HR" w:eastAsia="ar-SA"/>
              </w:rPr>
              <w:t>99.9</w:t>
            </w:r>
          </w:p>
        </w:tc>
      </w:tr>
    </w:tbl>
    <w:p w:rsidR="00AD0FEF" w:rsidRPr="00D473CB" w:rsidRDefault="005B4736" w:rsidP="00AD59CB">
      <w:pPr>
        <w:pStyle w:val="Izvorpodataka"/>
      </w:pPr>
      <w:r w:rsidRPr="009B1451">
        <w:t>Izvor:</w:t>
      </w:r>
      <w:r w:rsidR="009B1451">
        <w:t xml:space="preserve"> </w:t>
      </w:r>
      <w:r w:rsidR="00A33CF8" w:rsidRPr="009B1451">
        <w:t>Federalni zavod za programiranje razvoja</w:t>
      </w:r>
      <w:r w:rsidR="009B1451">
        <w:t xml:space="preserve"> </w:t>
      </w:r>
      <w:r w:rsidR="00A33CF8" w:rsidRPr="009B1451">
        <w:t>– Mjesečni stat</w:t>
      </w:r>
      <w:r w:rsidR="009B1451">
        <w:t>istički pregled po kantonima FBi</w:t>
      </w:r>
      <w:r w:rsidR="00A33CF8" w:rsidRPr="009B1451">
        <w:t>H</w:t>
      </w:r>
    </w:p>
    <w:p w:rsidR="00E83C5A" w:rsidRDefault="00ED2136" w:rsidP="003019A8">
      <w:pPr>
        <w:rPr>
          <w:lang w:val="hr-HR" w:eastAsia="ar-SA"/>
        </w:rPr>
      </w:pPr>
      <w:r w:rsidRPr="005F5DCD">
        <w:rPr>
          <w:lang w:val="hr-HR" w:eastAsia="ar-SA"/>
        </w:rPr>
        <w:t>U 2014. godini, bruto domaći proizvod (BDP) u općini Kalesija iznosio je po glavi stanovnika 1.904 KM</w:t>
      </w:r>
      <w:r w:rsidR="00AC2EB4">
        <w:rPr>
          <w:lang w:val="hr-HR" w:eastAsia="ar-SA"/>
        </w:rPr>
        <w:t xml:space="preserve"> (grafikon 6)</w:t>
      </w:r>
      <w:r w:rsidR="00B66355">
        <w:rPr>
          <w:lang w:val="hr-HR" w:eastAsia="ar-SA"/>
        </w:rPr>
        <w:t>, što je značajno povećanje u odnosu na visinu BDP-a 1990. godine (857 KM)</w:t>
      </w:r>
      <w:r w:rsidR="00B66355">
        <w:rPr>
          <w:rStyle w:val="FootnoteReference"/>
          <w:lang w:val="hr-HR" w:eastAsia="ar-SA"/>
        </w:rPr>
        <w:footnoteReference w:id="6"/>
      </w:r>
      <w:r w:rsidR="00AC2EB4">
        <w:rPr>
          <w:lang w:val="hr-HR" w:eastAsia="ar-SA"/>
        </w:rPr>
        <w:t xml:space="preserve"> (grafikon 7)</w:t>
      </w:r>
      <w:r w:rsidR="00B66355" w:rsidRPr="005F5DCD">
        <w:rPr>
          <w:lang w:val="hr-HR" w:eastAsia="ar-SA"/>
        </w:rPr>
        <w:t xml:space="preserve">. U predratnom periodu općina Kalesija je imala najniži BDP po glavi stanovnika </w:t>
      </w:r>
      <w:r w:rsidR="00B66355">
        <w:rPr>
          <w:lang w:val="hr-HR" w:eastAsia="ar-SA"/>
        </w:rPr>
        <w:t xml:space="preserve">u odnosu na ostale </w:t>
      </w:r>
      <w:r w:rsidR="00B66355" w:rsidRPr="005F5DCD">
        <w:rPr>
          <w:lang w:val="hr-HR" w:eastAsia="ar-SA"/>
        </w:rPr>
        <w:t>općin</w:t>
      </w:r>
      <w:r w:rsidR="00B66355">
        <w:rPr>
          <w:lang w:val="hr-HR" w:eastAsia="ar-SA"/>
        </w:rPr>
        <w:t>e</w:t>
      </w:r>
      <w:r w:rsidR="00B66355" w:rsidRPr="005F5DCD">
        <w:rPr>
          <w:lang w:val="hr-HR" w:eastAsia="ar-SA"/>
        </w:rPr>
        <w:t xml:space="preserve"> </w:t>
      </w:r>
      <w:r w:rsidR="00B66355" w:rsidRPr="003A5DCE">
        <w:rPr>
          <w:lang w:val="hr-HR" w:eastAsia="ar-SA"/>
        </w:rPr>
        <w:t>TK, a prema podacima iz 2014. godine, općina Kalesija i dalje spada među općine s najnižim BDP-om po glavi stanovnika (</w:t>
      </w:r>
      <w:r w:rsidRPr="003A5DCE">
        <w:rPr>
          <w:lang w:val="hr-HR" w:eastAsia="ar-SA"/>
        </w:rPr>
        <w:t xml:space="preserve">BDP općine Kalesija </w:t>
      </w:r>
      <w:r w:rsidR="00B66355" w:rsidRPr="003A5DCE">
        <w:rPr>
          <w:lang w:val="hr-HR" w:eastAsia="ar-SA"/>
        </w:rPr>
        <w:t xml:space="preserve">je </w:t>
      </w:r>
      <w:r w:rsidR="005D553A" w:rsidRPr="003A5DCE">
        <w:rPr>
          <w:lang w:val="hr-HR" w:eastAsia="ar-SA"/>
        </w:rPr>
        <w:t xml:space="preserve">oko </w:t>
      </w:r>
      <w:r w:rsidRPr="003A5DCE">
        <w:rPr>
          <w:lang w:val="hr-HR" w:eastAsia="ar-SA"/>
        </w:rPr>
        <w:t>73% ispod BDP-a F</w:t>
      </w:r>
      <w:r w:rsidR="00B66355" w:rsidRPr="003A5DCE">
        <w:rPr>
          <w:lang w:val="hr-HR" w:eastAsia="ar-SA"/>
        </w:rPr>
        <w:t>Bi</w:t>
      </w:r>
      <w:r w:rsidRPr="003A5DCE">
        <w:rPr>
          <w:lang w:val="hr-HR" w:eastAsia="ar-SA"/>
        </w:rPr>
        <w:t>H</w:t>
      </w:r>
      <w:r w:rsidR="00B66355" w:rsidRPr="003A5DCE">
        <w:rPr>
          <w:lang w:val="hr-HR" w:eastAsia="ar-SA"/>
        </w:rPr>
        <w:t>)</w:t>
      </w:r>
      <w:r w:rsidRPr="003A5DCE">
        <w:rPr>
          <w:lang w:val="hr-HR" w:eastAsia="ar-SA"/>
        </w:rPr>
        <w:t xml:space="preserve">. </w:t>
      </w:r>
      <w:r w:rsidR="00AE28EA" w:rsidRPr="003A5DCE">
        <w:rPr>
          <w:lang w:val="hr-HR" w:eastAsia="ar-SA"/>
        </w:rPr>
        <w:t xml:space="preserve">U 2016 godini prihodi po glavi stanovnika u općini Kalesija iznose 50 KM </w:t>
      </w:r>
      <w:r w:rsidR="003A5DCE" w:rsidRPr="003A5DCE">
        <w:rPr>
          <w:lang w:val="hr-HR" w:eastAsia="ar-SA"/>
        </w:rPr>
        <w:t>ili ostvareni prihod</w:t>
      </w:r>
      <w:r w:rsidR="00AE28EA" w:rsidRPr="003A5DCE">
        <w:rPr>
          <w:lang w:val="hr-HR" w:eastAsia="ar-SA"/>
        </w:rPr>
        <w:t xml:space="preserve"> u hiljadama KM iznosi 1.648 KM</w:t>
      </w:r>
      <w:r w:rsidR="003A5DCE" w:rsidRPr="003A5DCE">
        <w:rPr>
          <w:lang w:val="hr-HR" w:eastAsia="ar-SA"/>
        </w:rPr>
        <w:t>, i</w:t>
      </w:r>
      <w:r w:rsidR="00AE28EA" w:rsidRPr="003A5DCE">
        <w:rPr>
          <w:lang w:val="hr-HR" w:eastAsia="ar-SA"/>
        </w:rPr>
        <w:t>z čega se vidi da je općina Kalesija među najnerazvijenijim općinama u TK po ostavare</w:t>
      </w:r>
      <w:r w:rsidR="003A5DCE" w:rsidRPr="003A5DCE">
        <w:rPr>
          <w:lang w:val="hr-HR" w:eastAsia="ar-SA"/>
        </w:rPr>
        <w:t>nom prihodu po glavi stanovnik</w:t>
      </w:r>
      <w:r w:rsidR="00AE28EA" w:rsidRPr="003A5DCE">
        <w:rPr>
          <w:lang w:val="hr-HR" w:eastAsia="ar-SA"/>
        </w:rPr>
        <w:t>a.</w:t>
      </w:r>
      <w:r w:rsidR="00AE28EA">
        <w:rPr>
          <w:lang w:val="hr-HR" w:eastAsia="ar-SA"/>
        </w:rPr>
        <w:t xml:space="preserve"> </w:t>
      </w:r>
    </w:p>
    <w:p w:rsidR="00ED2136" w:rsidRPr="005F5DCD" w:rsidRDefault="00ED2136" w:rsidP="00194A79">
      <w:pPr>
        <w:pStyle w:val="Pitcures"/>
        <w:rPr>
          <w:lang w:val="hr-HR" w:eastAsia="ar-SA"/>
        </w:rPr>
      </w:pPr>
      <w:r w:rsidRPr="005F5DCD">
        <w:drawing>
          <wp:inline distT="0" distB="0" distL="0" distR="0">
            <wp:extent cx="4953000" cy="275437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1845" cy="2759298"/>
                    </a:xfrm>
                    <a:prstGeom prst="rect">
                      <a:avLst/>
                    </a:prstGeom>
                    <a:solidFill>
                      <a:srgbClr val="FFFFFF"/>
                    </a:solidFill>
                    <a:ln>
                      <a:noFill/>
                    </a:ln>
                  </pic:spPr>
                </pic:pic>
              </a:graphicData>
            </a:graphic>
          </wp:inline>
        </w:drawing>
      </w:r>
    </w:p>
    <w:p w:rsidR="008F7ABB" w:rsidRPr="00B66355" w:rsidRDefault="00AC2EB4" w:rsidP="00AD59CB">
      <w:pPr>
        <w:pStyle w:val="GrafiTabele"/>
      </w:pPr>
      <w:r>
        <w:t>Grafikon 6</w:t>
      </w:r>
      <w:r w:rsidR="008F7ABB" w:rsidRPr="00B66355">
        <w:t>: BDP općina TK u  odnosu na prosječni BDP Federacija BIH u 2014</w:t>
      </w:r>
    </w:p>
    <w:p w:rsidR="005B4736" w:rsidRDefault="005B4736" w:rsidP="00AD59CB">
      <w:pPr>
        <w:pStyle w:val="Izvorpodataka"/>
      </w:pPr>
      <w:r w:rsidRPr="00CB7CEA">
        <w:t>Izvor:</w:t>
      </w:r>
      <w:r>
        <w:rPr>
          <w:b/>
        </w:rPr>
        <w:t xml:space="preserve"> </w:t>
      </w:r>
      <w:r>
        <w:t>Federalni zavod za programiranje razvoja –Mjesečni statističk</w:t>
      </w:r>
      <w:r w:rsidR="009B1451">
        <w:t>i pregled po kantonima FBiH</w:t>
      </w:r>
    </w:p>
    <w:p w:rsidR="008F7ABB" w:rsidRPr="005B4736" w:rsidRDefault="008F7ABB" w:rsidP="00AD59CB"/>
    <w:p w:rsidR="005B4736" w:rsidRDefault="005B4736" w:rsidP="00194A79">
      <w:pPr>
        <w:pStyle w:val="Pitcures"/>
        <w:rPr>
          <w:lang w:val="hr-HR" w:eastAsia="ar-SA"/>
        </w:rPr>
      </w:pPr>
      <w:r w:rsidRPr="005F5DCD">
        <w:lastRenderedPageBreak/>
        <w:drawing>
          <wp:inline distT="0" distB="0" distL="0" distR="0">
            <wp:extent cx="4931310" cy="23717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715" cy="2382501"/>
                    </a:xfrm>
                    <a:prstGeom prst="rect">
                      <a:avLst/>
                    </a:prstGeom>
                    <a:solidFill>
                      <a:srgbClr val="FFFFFF"/>
                    </a:solidFill>
                    <a:ln>
                      <a:noFill/>
                    </a:ln>
                  </pic:spPr>
                </pic:pic>
              </a:graphicData>
            </a:graphic>
          </wp:inline>
        </w:drawing>
      </w:r>
    </w:p>
    <w:p w:rsidR="008F7ABB" w:rsidRPr="00B66355" w:rsidRDefault="008F7ABB" w:rsidP="00705807">
      <w:pPr>
        <w:pStyle w:val="GrafiTabele"/>
      </w:pPr>
      <w:r w:rsidRPr="00B66355">
        <w:t xml:space="preserve">Grafikon </w:t>
      </w:r>
      <w:r w:rsidR="00AC2EB4">
        <w:t>7</w:t>
      </w:r>
      <w:r w:rsidRPr="00B66355">
        <w:t>:  Kretanje BDP po glavi stanovnika, na području općine Kalesija 2010-2014</w:t>
      </w:r>
    </w:p>
    <w:p w:rsidR="00B66355" w:rsidRDefault="005B4736" w:rsidP="00CD69C8">
      <w:pPr>
        <w:pStyle w:val="Izvorpodataka"/>
      </w:pPr>
      <w:r w:rsidRPr="00B66355">
        <w:t xml:space="preserve">Izvor: </w:t>
      </w:r>
      <w:r w:rsidR="00CB7CEA" w:rsidRPr="00B66355">
        <w:t>Federalni zavod za programiranje razvoja -</w:t>
      </w:r>
      <w:r w:rsidRPr="00B66355">
        <w:t>Makroekonomski</w:t>
      </w:r>
      <w:r w:rsidR="00CB7CEA" w:rsidRPr="00B66355">
        <w:t xml:space="preserve"> pokazatelji po kantonima FBiH</w:t>
      </w:r>
    </w:p>
    <w:p w:rsidR="00F30C02" w:rsidRPr="00F30C02" w:rsidRDefault="00F30C02" w:rsidP="00AD59CB">
      <w:pPr>
        <w:pStyle w:val="Heading4"/>
        <w:rPr>
          <w:lang w:eastAsia="ar-SA"/>
        </w:rPr>
      </w:pPr>
      <w:bookmarkStart w:id="24" w:name="_Toc500140004"/>
      <w:r w:rsidRPr="00F30C02">
        <w:rPr>
          <w:lang w:eastAsia="ar-SA"/>
        </w:rPr>
        <w:t>Direktna strana ulaganja</w:t>
      </w:r>
      <w:bookmarkEnd w:id="24"/>
    </w:p>
    <w:p w:rsidR="00F30C02" w:rsidRPr="00E83C5A" w:rsidRDefault="00F30C02" w:rsidP="003019A8">
      <w:pPr>
        <w:rPr>
          <w:lang w:val="hr-HR" w:eastAsia="ar-SA"/>
        </w:rPr>
      </w:pPr>
      <w:r w:rsidRPr="005F5DCD">
        <w:rPr>
          <w:lang w:val="hr-HR" w:eastAsia="ar-SA"/>
        </w:rPr>
        <w:t xml:space="preserve">U periodu 2011.-2013. godina iznos stranih ulaganja u TK bio je 62.303.082 KM, od čega najviše u 2012. godini kada je ukupan iznos direktnih stranih ulaganja u </w:t>
      </w:r>
      <w:r w:rsidR="00E254E0">
        <w:rPr>
          <w:lang w:val="hr-HR" w:eastAsia="ar-SA"/>
        </w:rPr>
        <w:t>K</w:t>
      </w:r>
      <w:r w:rsidRPr="005F5DCD">
        <w:rPr>
          <w:lang w:val="hr-HR" w:eastAsia="ar-SA"/>
        </w:rPr>
        <w:t>antonu iznosio 34.819.316 KM</w:t>
      </w:r>
      <w:r w:rsidR="00E254E0">
        <w:rPr>
          <w:lang w:val="hr-HR" w:eastAsia="ar-SA"/>
        </w:rPr>
        <w:t>,</w:t>
      </w:r>
      <w:r w:rsidRPr="005F5DCD">
        <w:rPr>
          <w:lang w:val="hr-HR" w:eastAsia="ar-SA"/>
        </w:rPr>
        <w:t xml:space="preserve"> najviše zahvaljujući stranim investicijama na području općina Lukavac i Gradačac. U 2013. godini najviši iznos direktnih stranih</w:t>
      </w:r>
      <w:r w:rsidR="00E254E0">
        <w:rPr>
          <w:lang w:val="hr-HR" w:eastAsia="ar-SA"/>
        </w:rPr>
        <w:t xml:space="preserve"> ulaganja zabilježen je u Tuzli (</w:t>
      </w:r>
      <w:r w:rsidRPr="005F5DCD">
        <w:rPr>
          <w:lang w:val="hr-HR" w:eastAsia="ar-SA"/>
        </w:rPr>
        <w:t>33,49 % od ukupnog iznosa direktnih stranih ulaganja u Kantonu u ovoj godini</w:t>
      </w:r>
      <w:r w:rsidR="00E254E0">
        <w:rPr>
          <w:lang w:val="hr-HR" w:eastAsia="ar-SA"/>
        </w:rPr>
        <w:t>)</w:t>
      </w:r>
      <w:r w:rsidRPr="005F5DCD">
        <w:rPr>
          <w:lang w:val="hr-HR" w:eastAsia="ar-SA"/>
        </w:rPr>
        <w:t>.</w:t>
      </w:r>
      <w:r w:rsidR="00E040BD">
        <w:rPr>
          <w:lang w:val="hr-HR" w:eastAsia="ar-SA"/>
        </w:rPr>
        <w:t xml:space="preserve"> </w:t>
      </w:r>
      <w:r w:rsidRPr="005F5DCD">
        <w:rPr>
          <w:lang w:val="hr-HR" w:eastAsia="ar-SA"/>
        </w:rPr>
        <w:t xml:space="preserve">Kada posmatramo općinu Kalesija vidimo da </w:t>
      </w:r>
      <w:r w:rsidR="00E254E0" w:rsidRPr="005F5DCD">
        <w:rPr>
          <w:lang w:val="hr-HR" w:eastAsia="ar-SA"/>
        </w:rPr>
        <w:t xml:space="preserve">je </w:t>
      </w:r>
      <w:r w:rsidRPr="005F5DCD">
        <w:rPr>
          <w:lang w:val="hr-HR" w:eastAsia="ar-SA"/>
        </w:rPr>
        <w:t>u periodu 2011.-2013.</w:t>
      </w:r>
      <w:r w:rsidR="008B2818">
        <w:rPr>
          <w:lang w:val="hr-HR" w:eastAsia="ar-SA"/>
        </w:rPr>
        <w:t>, za koji su dostupni podaci,</w:t>
      </w:r>
      <w:r w:rsidRPr="005F5DCD">
        <w:rPr>
          <w:lang w:val="hr-HR" w:eastAsia="ar-SA"/>
        </w:rPr>
        <w:t xml:space="preserve"> iznos direktnih stranih ulaganja u općinu iznosio samo 24.720 KM što je među najmanjim ulaganjima u općinama u TK</w:t>
      </w:r>
      <w:r w:rsidR="004570D0">
        <w:rPr>
          <w:lang w:val="hr-HR" w:eastAsia="ar-SA"/>
        </w:rPr>
        <w:t xml:space="preserve"> (grafikon 8)</w:t>
      </w:r>
      <w:r w:rsidRPr="005F5DCD">
        <w:rPr>
          <w:lang w:val="hr-HR" w:eastAsia="ar-SA"/>
        </w:rPr>
        <w:t>.</w:t>
      </w:r>
      <w:r w:rsidR="00E254E0">
        <w:rPr>
          <w:lang w:val="hr-HR" w:eastAsia="ar-SA"/>
        </w:rPr>
        <w:t xml:space="preserve"> </w:t>
      </w:r>
    </w:p>
    <w:p w:rsidR="00F30C02" w:rsidRPr="00C96919" w:rsidRDefault="00F30C02" w:rsidP="00EE353E">
      <w:pPr>
        <w:suppressAutoHyphens/>
        <w:jc w:val="center"/>
        <w:rPr>
          <w:rFonts w:eastAsia="Times New Roman"/>
          <w:lang w:val="hr-HR" w:eastAsia="ar-SA"/>
        </w:rPr>
      </w:pPr>
      <w:r w:rsidRPr="005F5DCD">
        <w:rPr>
          <w:rFonts w:eastAsia="Times New Roman"/>
          <w:noProof/>
          <w:szCs w:val="24"/>
          <w:lang w:eastAsia="bs-Latn-BA"/>
        </w:rPr>
        <w:drawing>
          <wp:inline distT="0" distB="0" distL="0" distR="0">
            <wp:extent cx="4818491" cy="3045350"/>
            <wp:effectExtent l="0" t="0" r="20320" b="222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254E0" w:rsidRPr="00E254E0" w:rsidRDefault="004570D0" w:rsidP="00AD59CB">
      <w:pPr>
        <w:pStyle w:val="GrafiTabele"/>
      </w:pPr>
      <w:r>
        <w:t>Grafikon 8</w:t>
      </w:r>
      <w:r w:rsidR="00E254E0" w:rsidRPr="00E254E0">
        <w:t>: Iznos direktnih stranih ulaganja na području TK u periodu 2011.-2013.</w:t>
      </w:r>
    </w:p>
    <w:p w:rsidR="00E254E0" w:rsidRPr="00E83C5A" w:rsidRDefault="000B6781" w:rsidP="00CD69C8">
      <w:pPr>
        <w:pStyle w:val="Izvorpodataka"/>
      </w:pPr>
      <w:r>
        <w:t>Izvor: Strategija razvoja TK 2015 godine.</w:t>
      </w:r>
    </w:p>
    <w:p w:rsidR="00BE488A" w:rsidRPr="00BE488A" w:rsidRDefault="00BE488A" w:rsidP="00AD59CB">
      <w:pPr>
        <w:pStyle w:val="Heading4"/>
        <w:rPr>
          <w:lang w:val="hr-HR" w:eastAsia="ar-SA"/>
        </w:rPr>
      </w:pPr>
      <w:bookmarkStart w:id="25" w:name="__RefHeading___Toc177266109"/>
      <w:bookmarkStart w:id="26" w:name="_Toc500140005"/>
      <w:r w:rsidRPr="00CA65E7">
        <w:rPr>
          <w:lang w:val="hr-HR" w:eastAsia="ar-SA"/>
        </w:rPr>
        <w:lastRenderedPageBreak/>
        <w:t>Struktura lokalne ekonomije</w:t>
      </w:r>
      <w:bookmarkEnd w:id="25"/>
      <w:bookmarkEnd w:id="26"/>
    </w:p>
    <w:p w:rsidR="00CA65E7" w:rsidRDefault="00DF26E9" w:rsidP="003019A8">
      <w:pPr>
        <w:rPr>
          <w:lang w:val="hr-HR" w:eastAsia="ar-SA"/>
        </w:rPr>
      </w:pPr>
      <w:r w:rsidRPr="00DF26E9">
        <w:rPr>
          <w:lang w:val="hr-HR" w:eastAsia="ar-SA"/>
        </w:rPr>
        <w:t xml:space="preserve">Privredu općine Kalesija prema </w:t>
      </w:r>
      <w:r w:rsidR="00B166AB" w:rsidRPr="00DF26E9">
        <w:rPr>
          <w:lang w:val="hr-HR" w:eastAsia="ar-SA"/>
        </w:rPr>
        <w:t xml:space="preserve">statističkim podacima </w:t>
      </w:r>
      <w:r w:rsidR="00B166AB">
        <w:rPr>
          <w:lang w:val="hr-HR" w:eastAsia="ar-SA"/>
        </w:rPr>
        <w:t xml:space="preserve">o </w:t>
      </w:r>
      <w:r w:rsidRPr="00DF26E9">
        <w:rPr>
          <w:lang w:val="hr-HR" w:eastAsia="ar-SA"/>
        </w:rPr>
        <w:t>broju registrovanih pravnih lica u 2016</w:t>
      </w:r>
      <w:r w:rsidR="000952A9">
        <w:rPr>
          <w:lang w:val="hr-HR" w:eastAsia="ar-SA"/>
        </w:rPr>
        <w:t>.</w:t>
      </w:r>
      <w:r w:rsidRPr="00DF26E9">
        <w:rPr>
          <w:lang w:val="hr-HR" w:eastAsia="ar-SA"/>
        </w:rPr>
        <w:t xml:space="preserve"> godini, čini ukupno 1.386 registrovanih privrednih subjekata</w:t>
      </w:r>
      <w:r w:rsidR="00B166AB">
        <w:rPr>
          <w:lang w:val="hr-HR" w:eastAsia="ar-SA"/>
        </w:rPr>
        <w:t>;</w:t>
      </w:r>
      <w:r w:rsidRPr="00DF26E9">
        <w:rPr>
          <w:lang w:val="hr-HR" w:eastAsia="ar-SA"/>
        </w:rPr>
        <w:t xml:space="preserve"> od tog</w:t>
      </w:r>
      <w:r w:rsidR="00B166AB">
        <w:rPr>
          <w:lang w:val="hr-HR" w:eastAsia="ar-SA"/>
        </w:rPr>
        <w:t>a</w:t>
      </w:r>
      <w:r w:rsidRPr="00DF26E9">
        <w:rPr>
          <w:lang w:val="hr-HR" w:eastAsia="ar-SA"/>
        </w:rPr>
        <w:t xml:space="preserve"> 414 pravnih lica, 337 podružnica pravnih lica i 635 fizičkih lica obrtnika. </w:t>
      </w:r>
    </w:p>
    <w:p w:rsidR="003019A8" w:rsidRPr="00002807" w:rsidRDefault="00B6405D" w:rsidP="00002807">
      <w:pPr>
        <w:rPr>
          <w:lang w:val="hr-HR" w:eastAsia="ar-SA"/>
        </w:rPr>
      </w:pPr>
      <w:r>
        <w:rPr>
          <w:lang w:val="hr-HR" w:eastAsia="ar-SA"/>
        </w:rPr>
        <w:t>Broj obrta u 2016. godini</w:t>
      </w:r>
      <w:r w:rsidRPr="005F5DCD">
        <w:rPr>
          <w:lang w:val="hr-HR" w:eastAsia="ar-SA"/>
        </w:rPr>
        <w:t xml:space="preserve"> </w:t>
      </w:r>
      <w:r w:rsidR="00CA65E7">
        <w:rPr>
          <w:lang w:val="hr-HR" w:eastAsia="ar-SA"/>
        </w:rPr>
        <w:t xml:space="preserve">(635 obrta) </w:t>
      </w:r>
      <w:r w:rsidRPr="005F5DCD">
        <w:rPr>
          <w:lang w:val="hr-HR" w:eastAsia="ar-SA"/>
        </w:rPr>
        <w:t xml:space="preserve">je za 17% </w:t>
      </w:r>
      <w:r>
        <w:rPr>
          <w:lang w:val="hr-HR" w:eastAsia="ar-SA"/>
        </w:rPr>
        <w:t xml:space="preserve">veći </w:t>
      </w:r>
      <w:r w:rsidRPr="005F5DCD">
        <w:rPr>
          <w:lang w:val="hr-HR" w:eastAsia="ar-SA"/>
        </w:rPr>
        <w:t xml:space="preserve">u odnosu na 2015. </w:t>
      </w:r>
      <w:r w:rsidR="00CA65E7">
        <w:rPr>
          <w:lang w:val="hr-HR" w:eastAsia="ar-SA"/>
        </w:rPr>
        <w:t>g</w:t>
      </w:r>
      <w:r w:rsidRPr="005F5DCD">
        <w:rPr>
          <w:lang w:val="hr-HR" w:eastAsia="ar-SA"/>
        </w:rPr>
        <w:t>odin</w:t>
      </w:r>
      <w:r>
        <w:rPr>
          <w:lang w:val="hr-HR" w:eastAsia="ar-SA"/>
        </w:rPr>
        <w:t>u</w:t>
      </w:r>
      <w:r w:rsidR="00CA65E7">
        <w:rPr>
          <w:lang w:val="hr-HR" w:eastAsia="ar-SA"/>
        </w:rPr>
        <w:t xml:space="preserve"> (</w:t>
      </w:r>
      <w:r w:rsidRPr="005F5DCD">
        <w:rPr>
          <w:lang w:val="hr-HR" w:eastAsia="ar-SA"/>
        </w:rPr>
        <w:t>542 obrta</w:t>
      </w:r>
      <w:r w:rsidR="00CA65E7">
        <w:rPr>
          <w:lang w:val="hr-HR" w:eastAsia="ar-SA"/>
        </w:rPr>
        <w:t>)</w:t>
      </w:r>
      <w:r w:rsidR="000952A9">
        <w:rPr>
          <w:lang w:val="hr-HR" w:eastAsia="ar-SA"/>
        </w:rPr>
        <w:t xml:space="preserve"> (tabela 2)</w:t>
      </w:r>
      <w:r>
        <w:rPr>
          <w:lang w:val="hr-HR" w:eastAsia="ar-SA"/>
        </w:rPr>
        <w:t>.</w:t>
      </w:r>
      <w:r w:rsidRPr="00B6405D">
        <w:rPr>
          <w:lang w:val="hr-HR" w:eastAsia="ar-SA"/>
        </w:rPr>
        <w:t xml:space="preserve"> </w:t>
      </w:r>
      <w:r>
        <w:rPr>
          <w:lang w:val="hr-HR" w:eastAsia="ar-SA"/>
        </w:rPr>
        <w:t>I</w:t>
      </w:r>
      <w:r w:rsidRPr="005F5DCD">
        <w:rPr>
          <w:lang w:val="hr-HR" w:eastAsia="ar-SA"/>
        </w:rPr>
        <w:t>ako se broj obrta u posl</w:t>
      </w:r>
      <w:r>
        <w:rPr>
          <w:lang w:val="hr-HR" w:eastAsia="ar-SA"/>
        </w:rPr>
        <w:t>j</w:t>
      </w:r>
      <w:r w:rsidRPr="005F5DCD">
        <w:rPr>
          <w:lang w:val="hr-HR" w:eastAsia="ar-SA"/>
        </w:rPr>
        <w:t xml:space="preserve">ednjih nekoliko godina znatno povećao ipak općina </w:t>
      </w:r>
      <w:r>
        <w:rPr>
          <w:lang w:val="hr-HR" w:eastAsia="ar-SA"/>
        </w:rPr>
        <w:t>K</w:t>
      </w:r>
      <w:r w:rsidRPr="005F5DCD">
        <w:rPr>
          <w:lang w:val="hr-HR" w:eastAsia="ar-SA"/>
        </w:rPr>
        <w:t>alesija po broj</w:t>
      </w:r>
      <w:r>
        <w:rPr>
          <w:lang w:val="hr-HR" w:eastAsia="ar-SA"/>
        </w:rPr>
        <w:t>u obrta spada u općine sa najniž</w:t>
      </w:r>
      <w:r w:rsidRPr="005F5DCD">
        <w:rPr>
          <w:lang w:val="hr-HR" w:eastAsia="ar-SA"/>
        </w:rPr>
        <w:t>im brojem registr</w:t>
      </w:r>
      <w:r>
        <w:rPr>
          <w:lang w:val="hr-HR" w:eastAsia="ar-SA"/>
        </w:rPr>
        <w:t>ovanih obrta</w:t>
      </w:r>
      <w:r w:rsidRPr="005F5DCD">
        <w:rPr>
          <w:lang w:val="hr-HR" w:eastAsia="ar-SA"/>
        </w:rPr>
        <w:t>.</w:t>
      </w:r>
      <w:r w:rsidR="00CA65E7">
        <w:rPr>
          <w:lang w:val="hr-HR" w:eastAsia="ar-SA"/>
        </w:rPr>
        <w:t xml:space="preserve"> N</w:t>
      </w:r>
      <w:r w:rsidR="00AB1856" w:rsidRPr="005F5DCD">
        <w:rPr>
          <w:lang w:val="hr-HR" w:eastAsia="ar-SA"/>
        </w:rPr>
        <w:t>ajveći broj, kao i naj</w:t>
      </w:r>
      <w:r w:rsidR="00CA65E7">
        <w:rPr>
          <w:lang w:val="hr-HR" w:eastAsia="ar-SA"/>
        </w:rPr>
        <w:t>veći relativni rast broja obrta</w:t>
      </w:r>
      <w:r w:rsidR="00AB1856" w:rsidRPr="005F5DCD">
        <w:rPr>
          <w:lang w:val="hr-HR" w:eastAsia="ar-SA"/>
        </w:rPr>
        <w:t xml:space="preserve"> posljednjih godina </w:t>
      </w:r>
      <w:r w:rsidR="00CA65E7">
        <w:rPr>
          <w:lang w:val="hr-HR" w:eastAsia="ar-SA"/>
        </w:rPr>
        <w:t xml:space="preserve">bilježe trgovina i </w:t>
      </w:r>
      <w:r w:rsidR="00AB1856">
        <w:rPr>
          <w:lang w:val="hr-HR" w:eastAsia="ar-SA"/>
        </w:rPr>
        <w:t>ugostiteljske djelatnosti</w:t>
      </w:r>
      <w:r w:rsidR="00AB1856" w:rsidRPr="005F5DCD">
        <w:rPr>
          <w:lang w:val="hr-HR" w:eastAsia="ar-SA"/>
        </w:rPr>
        <w:t xml:space="preserve">, </w:t>
      </w:r>
      <w:r w:rsidR="00CA65E7">
        <w:rPr>
          <w:lang w:val="hr-HR" w:eastAsia="ar-SA"/>
        </w:rPr>
        <w:t xml:space="preserve">a zatim </w:t>
      </w:r>
      <w:r w:rsidR="00AB1856" w:rsidRPr="005F5DCD">
        <w:rPr>
          <w:lang w:val="hr-HR" w:eastAsia="ar-SA"/>
        </w:rPr>
        <w:t>prerađivačka industrija i prevoz i skladištenje.</w:t>
      </w:r>
      <w:r w:rsidR="00AB1856">
        <w:rPr>
          <w:lang w:val="hr-HR" w:eastAsia="ar-SA"/>
        </w:rPr>
        <w:t xml:space="preserve"> </w:t>
      </w:r>
      <w:r w:rsidR="00AB1856" w:rsidRPr="005F5DCD">
        <w:rPr>
          <w:lang w:val="hr-HR" w:eastAsia="ar-SA"/>
        </w:rPr>
        <w:t>Ako razmotrimo dinamiku osnivanja i zatvaranja obrta, uzimajući u obzir i značajan skok otvorenih u odnosu na zatvorene obrte u 2016. i 2015. godini, vidimo da je u posljednje vrijeme broj novoregistrira</w:t>
      </w:r>
      <w:r w:rsidR="00AB1856">
        <w:rPr>
          <w:lang w:val="hr-HR" w:eastAsia="ar-SA"/>
        </w:rPr>
        <w:t xml:space="preserve">nih obrta kontinuirano rastao. </w:t>
      </w:r>
    </w:p>
    <w:p w:rsidR="005C3DCA" w:rsidRPr="00B166AB" w:rsidRDefault="005C3DCA" w:rsidP="00AD59CB">
      <w:pPr>
        <w:pStyle w:val="GrafiTabele"/>
      </w:pPr>
      <w:r w:rsidRPr="00B166AB">
        <w:t xml:space="preserve">Tabela </w:t>
      </w:r>
      <w:r w:rsidR="004570D0">
        <w:t>2</w:t>
      </w:r>
      <w:r w:rsidRPr="00B166AB">
        <w:t xml:space="preserve">: Broj obrta u 2015. i 2016. </w:t>
      </w:r>
      <w:r>
        <w:t>g</w:t>
      </w:r>
      <w:r w:rsidRPr="00B166AB">
        <w:t>odini</w:t>
      </w:r>
    </w:p>
    <w:tbl>
      <w:tblPr>
        <w:tblW w:w="96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1119"/>
        <w:gridCol w:w="1129"/>
        <w:gridCol w:w="1222"/>
        <w:gridCol w:w="1705"/>
      </w:tblGrid>
      <w:tr w:rsidR="005C3DCA" w:rsidRPr="00814711" w:rsidTr="00002807">
        <w:tc>
          <w:tcPr>
            <w:tcW w:w="4520" w:type="dxa"/>
            <w:shd w:val="clear" w:color="auto" w:fill="D9D9D9" w:themeFill="background1" w:themeFillShade="D9"/>
            <w:noWrap/>
            <w:vAlign w:val="center"/>
            <w:hideMark/>
          </w:tcPr>
          <w:p w:rsidR="005C3DCA" w:rsidRPr="00814711" w:rsidRDefault="005C3DCA" w:rsidP="000952A9">
            <w:pPr>
              <w:spacing w:before="20" w:after="20"/>
              <w:jc w:val="center"/>
              <w:rPr>
                <w:rFonts w:eastAsia="Times New Roman"/>
                <w:b/>
                <w:bCs/>
                <w:color w:val="000000"/>
                <w:sz w:val="20"/>
                <w:szCs w:val="20"/>
                <w:lang w:eastAsia="hr-HR"/>
              </w:rPr>
            </w:pPr>
            <w:r w:rsidRPr="00814711">
              <w:rPr>
                <w:rFonts w:eastAsia="Times New Roman"/>
                <w:b/>
                <w:bCs/>
                <w:color w:val="000000"/>
                <w:sz w:val="20"/>
                <w:szCs w:val="20"/>
                <w:lang w:eastAsia="hr-HR"/>
              </w:rPr>
              <w:t>Naziv područja djelatnosti</w:t>
            </w:r>
          </w:p>
        </w:tc>
        <w:tc>
          <w:tcPr>
            <w:tcW w:w="1119" w:type="dxa"/>
            <w:shd w:val="clear" w:color="auto" w:fill="D9D9D9" w:themeFill="background1" w:themeFillShade="D9"/>
            <w:vAlign w:val="center"/>
          </w:tcPr>
          <w:p w:rsidR="005C3DCA" w:rsidRPr="00814711" w:rsidRDefault="005C3DCA" w:rsidP="000952A9">
            <w:pPr>
              <w:spacing w:before="20" w:after="20"/>
              <w:jc w:val="center"/>
              <w:rPr>
                <w:rFonts w:eastAsia="Times New Roman"/>
                <w:b/>
                <w:bCs/>
                <w:color w:val="000000"/>
                <w:sz w:val="20"/>
                <w:szCs w:val="20"/>
                <w:lang w:eastAsia="hr-HR"/>
              </w:rPr>
            </w:pPr>
            <w:r w:rsidRPr="00814711">
              <w:rPr>
                <w:rFonts w:eastAsia="Times New Roman"/>
                <w:b/>
                <w:bCs/>
                <w:color w:val="000000"/>
                <w:sz w:val="20"/>
                <w:szCs w:val="20"/>
                <w:lang w:eastAsia="hr-HR"/>
              </w:rPr>
              <w:t>Obrt 2015</w:t>
            </w:r>
          </w:p>
        </w:tc>
        <w:tc>
          <w:tcPr>
            <w:tcW w:w="1129" w:type="dxa"/>
            <w:shd w:val="clear" w:color="auto" w:fill="D9D9D9" w:themeFill="background1" w:themeFillShade="D9"/>
            <w:noWrap/>
            <w:vAlign w:val="center"/>
            <w:hideMark/>
          </w:tcPr>
          <w:p w:rsidR="005C3DCA" w:rsidRPr="00814711" w:rsidRDefault="005C3DCA" w:rsidP="000952A9">
            <w:pPr>
              <w:spacing w:before="20" w:after="20"/>
              <w:jc w:val="center"/>
              <w:rPr>
                <w:rFonts w:eastAsia="Times New Roman"/>
                <w:b/>
                <w:bCs/>
                <w:color w:val="000000"/>
                <w:sz w:val="20"/>
                <w:szCs w:val="20"/>
                <w:lang w:eastAsia="hr-HR"/>
              </w:rPr>
            </w:pPr>
            <w:r w:rsidRPr="00814711">
              <w:rPr>
                <w:rFonts w:eastAsia="Times New Roman"/>
                <w:b/>
                <w:bCs/>
                <w:color w:val="000000"/>
                <w:sz w:val="20"/>
                <w:szCs w:val="20"/>
                <w:lang w:eastAsia="hr-HR"/>
              </w:rPr>
              <w:t>Obrt 2016</w:t>
            </w:r>
          </w:p>
        </w:tc>
        <w:tc>
          <w:tcPr>
            <w:tcW w:w="1222" w:type="dxa"/>
            <w:shd w:val="clear" w:color="auto" w:fill="D9D9D9" w:themeFill="background1" w:themeFillShade="D9"/>
            <w:noWrap/>
            <w:vAlign w:val="center"/>
            <w:hideMark/>
          </w:tcPr>
          <w:p w:rsidR="005C3DCA" w:rsidRPr="00814711" w:rsidRDefault="005C3DCA" w:rsidP="000952A9">
            <w:pPr>
              <w:spacing w:before="20" w:after="20"/>
              <w:jc w:val="center"/>
              <w:rPr>
                <w:rFonts w:eastAsia="Times New Roman"/>
                <w:b/>
                <w:bCs/>
                <w:color w:val="000000"/>
                <w:sz w:val="20"/>
                <w:szCs w:val="20"/>
                <w:lang w:eastAsia="hr-HR"/>
              </w:rPr>
            </w:pPr>
            <w:r w:rsidRPr="00814711">
              <w:rPr>
                <w:rFonts w:eastAsia="Times New Roman"/>
                <w:b/>
                <w:bCs/>
                <w:color w:val="000000"/>
                <w:sz w:val="20"/>
                <w:szCs w:val="20"/>
                <w:lang w:eastAsia="hr-HR"/>
              </w:rPr>
              <w:t>Odjavljeni obrti 2016</w:t>
            </w:r>
          </w:p>
        </w:tc>
        <w:tc>
          <w:tcPr>
            <w:tcW w:w="1705" w:type="dxa"/>
            <w:shd w:val="clear" w:color="auto" w:fill="D9D9D9" w:themeFill="background1" w:themeFillShade="D9"/>
            <w:noWrap/>
            <w:vAlign w:val="center"/>
            <w:hideMark/>
          </w:tcPr>
          <w:p w:rsidR="005C3DCA" w:rsidRPr="00814711" w:rsidRDefault="005C3DCA" w:rsidP="000952A9">
            <w:pPr>
              <w:spacing w:before="20" w:after="20"/>
              <w:jc w:val="center"/>
              <w:rPr>
                <w:rFonts w:eastAsia="Times New Roman"/>
                <w:b/>
                <w:bCs/>
                <w:color w:val="000000"/>
                <w:sz w:val="20"/>
                <w:szCs w:val="20"/>
                <w:lang w:eastAsia="hr-HR"/>
              </w:rPr>
            </w:pPr>
            <w:r w:rsidRPr="00814711">
              <w:rPr>
                <w:rFonts w:eastAsia="Times New Roman"/>
                <w:b/>
                <w:bCs/>
                <w:color w:val="000000"/>
                <w:sz w:val="20"/>
                <w:szCs w:val="20"/>
                <w:lang w:eastAsia="hr-HR"/>
              </w:rPr>
              <w:t>Novoregistrirani obrti 2016</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Poljoprivreda šumarstvo ribolov</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20</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70</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21</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Vođenje ruda i kamena</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Prerađivačka industrija</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72</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77</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5</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77</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Proizvodnja i snabdijevanje el.en.Plinom parom i klimatizacijom</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Snabdijevanje vodom uklanjanje otpadnim voda uprav otpadom</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Građevinarstvo</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3</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9</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26</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Trgovina na veliko i malo, popr mot voz</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17</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15</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5</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197</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Prevoz i skladištenje</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2</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5</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79</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Djelatnost pružanja smještaja te prip i služenje hrane</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72</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73</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73</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Informacije i komunikacije</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3</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3</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3</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Finansijska djelatnost i djel osiguranja</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2</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2</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Poslovanje nekretninama</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Stručna nauč u tehnička djelatnsot</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19</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19</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19</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Administr i pomoć uslužne djelatnosti</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2</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2</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2</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Javna uprava i odbrana obav soc osig</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Obrazovanje</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5</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5</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5</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Djelatnost zdrav i soc zaštite</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5</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5</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5</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Umjetnost zabava rekreacija</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1</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Ostale uslužne djel</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30</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30</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30</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Djelatnost domaćinstva kao poslodavaca usluge za vl potrebe</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r>
      <w:tr w:rsidR="005C3DCA" w:rsidRPr="00814711" w:rsidTr="00002807">
        <w:tc>
          <w:tcPr>
            <w:tcW w:w="4520" w:type="dxa"/>
            <w:shd w:val="clear" w:color="auto" w:fill="auto"/>
            <w:noWrap/>
            <w:vAlign w:val="bottom"/>
            <w:hideMark/>
          </w:tcPr>
          <w:p w:rsidR="005C3DCA" w:rsidRPr="00814711" w:rsidRDefault="005C3DCA" w:rsidP="000952A9">
            <w:pPr>
              <w:spacing w:before="20" w:after="20"/>
              <w:rPr>
                <w:rFonts w:eastAsia="Times New Roman"/>
                <w:color w:val="000000"/>
                <w:sz w:val="20"/>
                <w:szCs w:val="20"/>
                <w:lang w:eastAsia="hr-HR"/>
              </w:rPr>
            </w:pPr>
            <w:r w:rsidRPr="00814711">
              <w:rPr>
                <w:rFonts w:eastAsia="Times New Roman"/>
                <w:color w:val="000000"/>
                <w:sz w:val="20"/>
                <w:szCs w:val="20"/>
                <w:lang w:eastAsia="hr-HR"/>
              </w:rPr>
              <w:t>Djelatnost veterinarskih organizacija</w:t>
            </w:r>
          </w:p>
        </w:tc>
        <w:tc>
          <w:tcPr>
            <w:tcW w:w="1119" w:type="dxa"/>
            <w:vAlign w:val="center"/>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129"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222"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c>
          <w:tcPr>
            <w:tcW w:w="1705" w:type="dxa"/>
            <w:shd w:val="clear" w:color="auto" w:fill="auto"/>
            <w:noWrap/>
            <w:vAlign w:val="center"/>
            <w:hideMark/>
          </w:tcPr>
          <w:p w:rsidR="005C3DCA" w:rsidRPr="00814711" w:rsidRDefault="005C3DCA" w:rsidP="000952A9">
            <w:pPr>
              <w:spacing w:before="20" w:after="20"/>
              <w:jc w:val="center"/>
              <w:rPr>
                <w:rFonts w:eastAsia="Times New Roman"/>
                <w:color w:val="000000"/>
                <w:sz w:val="20"/>
                <w:szCs w:val="20"/>
                <w:lang w:eastAsia="hr-HR"/>
              </w:rPr>
            </w:pPr>
            <w:r w:rsidRPr="00814711">
              <w:rPr>
                <w:rFonts w:eastAsia="Times New Roman"/>
                <w:color w:val="000000"/>
                <w:sz w:val="20"/>
                <w:szCs w:val="20"/>
                <w:lang w:eastAsia="hr-HR"/>
              </w:rPr>
              <w:t>0</w:t>
            </w:r>
          </w:p>
        </w:tc>
      </w:tr>
      <w:tr w:rsidR="005C3DCA" w:rsidRPr="00814711" w:rsidTr="00002807">
        <w:tc>
          <w:tcPr>
            <w:tcW w:w="4520" w:type="dxa"/>
            <w:shd w:val="clear" w:color="auto" w:fill="D9D9D9" w:themeFill="background1" w:themeFillShade="D9"/>
            <w:noWrap/>
            <w:vAlign w:val="bottom"/>
            <w:hideMark/>
          </w:tcPr>
          <w:p w:rsidR="005C3DCA" w:rsidRPr="00814711" w:rsidRDefault="005C3DCA" w:rsidP="000952A9">
            <w:pPr>
              <w:spacing w:before="20" w:after="20"/>
              <w:rPr>
                <w:rFonts w:eastAsia="Times New Roman"/>
                <w:b/>
                <w:bCs/>
                <w:color w:val="000000"/>
                <w:sz w:val="20"/>
                <w:szCs w:val="20"/>
                <w:lang w:eastAsia="hr-HR"/>
              </w:rPr>
            </w:pPr>
            <w:r w:rsidRPr="00814711">
              <w:rPr>
                <w:rFonts w:eastAsia="Times New Roman"/>
                <w:b/>
                <w:bCs/>
                <w:color w:val="000000"/>
                <w:sz w:val="20"/>
                <w:szCs w:val="20"/>
                <w:lang w:eastAsia="hr-HR"/>
              </w:rPr>
              <w:t>Ukupno</w:t>
            </w:r>
          </w:p>
        </w:tc>
        <w:tc>
          <w:tcPr>
            <w:tcW w:w="1119" w:type="dxa"/>
            <w:shd w:val="clear" w:color="auto" w:fill="D9D9D9" w:themeFill="background1" w:themeFillShade="D9"/>
            <w:vAlign w:val="center"/>
          </w:tcPr>
          <w:p w:rsidR="005C3DCA" w:rsidRPr="00814711" w:rsidRDefault="005C3DCA" w:rsidP="000952A9">
            <w:pPr>
              <w:spacing w:before="20" w:after="20"/>
              <w:jc w:val="center"/>
              <w:rPr>
                <w:rFonts w:eastAsia="Times New Roman"/>
                <w:b/>
                <w:bCs/>
                <w:color w:val="000000"/>
                <w:sz w:val="20"/>
                <w:szCs w:val="20"/>
                <w:lang w:eastAsia="hr-HR"/>
              </w:rPr>
            </w:pPr>
            <w:r w:rsidRPr="00814711">
              <w:rPr>
                <w:rFonts w:eastAsia="Times New Roman"/>
                <w:b/>
                <w:bCs/>
                <w:color w:val="000000"/>
                <w:sz w:val="20"/>
                <w:szCs w:val="20"/>
                <w:lang w:eastAsia="hr-HR"/>
              </w:rPr>
              <w:t>254</w:t>
            </w:r>
          </w:p>
        </w:tc>
        <w:tc>
          <w:tcPr>
            <w:tcW w:w="1129" w:type="dxa"/>
            <w:shd w:val="clear" w:color="auto" w:fill="D9D9D9" w:themeFill="background1" w:themeFillShade="D9"/>
            <w:noWrap/>
            <w:vAlign w:val="center"/>
            <w:hideMark/>
          </w:tcPr>
          <w:p w:rsidR="005C3DCA" w:rsidRPr="00814711" w:rsidRDefault="005C3DCA" w:rsidP="000952A9">
            <w:pPr>
              <w:spacing w:before="20" w:after="20"/>
              <w:jc w:val="center"/>
              <w:rPr>
                <w:rFonts w:eastAsia="Times New Roman"/>
                <w:b/>
                <w:bCs/>
                <w:color w:val="000000"/>
                <w:sz w:val="20"/>
                <w:szCs w:val="20"/>
                <w:lang w:eastAsia="hr-HR"/>
              </w:rPr>
            </w:pPr>
            <w:r w:rsidRPr="00814711">
              <w:rPr>
                <w:rFonts w:eastAsia="Times New Roman"/>
                <w:b/>
                <w:bCs/>
                <w:color w:val="000000"/>
                <w:sz w:val="20"/>
                <w:szCs w:val="20"/>
                <w:lang w:eastAsia="hr-HR"/>
              </w:rPr>
              <w:t>318</w:t>
            </w:r>
          </w:p>
        </w:tc>
        <w:tc>
          <w:tcPr>
            <w:tcW w:w="1222" w:type="dxa"/>
            <w:shd w:val="clear" w:color="auto" w:fill="D9D9D9" w:themeFill="background1" w:themeFillShade="D9"/>
            <w:noWrap/>
            <w:vAlign w:val="center"/>
            <w:hideMark/>
          </w:tcPr>
          <w:p w:rsidR="005C3DCA" w:rsidRPr="00814711" w:rsidRDefault="005C3DCA" w:rsidP="000952A9">
            <w:pPr>
              <w:spacing w:before="20" w:after="20"/>
              <w:jc w:val="center"/>
              <w:rPr>
                <w:rFonts w:eastAsia="Times New Roman"/>
                <w:b/>
                <w:bCs/>
                <w:color w:val="000000"/>
                <w:sz w:val="20"/>
                <w:szCs w:val="20"/>
                <w:lang w:eastAsia="hr-HR"/>
              </w:rPr>
            </w:pPr>
            <w:r w:rsidRPr="00814711">
              <w:rPr>
                <w:rFonts w:eastAsia="Times New Roman"/>
                <w:b/>
                <w:bCs/>
                <w:color w:val="000000"/>
                <w:sz w:val="20"/>
                <w:szCs w:val="20"/>
                <w:lang w:eastAsia="hr-HR"/>
              </w:rPr>
              <w:t>15</w:t>
            </w:r>
          </w:p>
        </w:tc>
        <w:tc>
          <w:tcPr>
            <w:tcW w:w="1705" w:type="dxa"/>
            <w:shd w:val="clear" w:color="auto" w:fill="D9D9D9" w:themeFill="background1" w:themeFillShade="D9"/>
            <w:noWrap/>
            <w:vAlign w:val="center"/>
            <w:hideMark/>
          </w:tcPr>
          <w:p w:rsidR="005C3DCA" w:rsidRPr="00814711" w:rsidRDefault="005C3DCA" w:rsidP="000952A9">
            <w:pPr>
              <w:spacing w:before="20" w:after="20"/>
              <w:jc w:val="center"/>
              <w:rPr>
                <w:rFonts w:eastAsia="Times New Roman"/>
                <w:b/>
                <w:bCs/>
                <w:color w:val="000000"/>
                <w:sz w:val="20"/>
                <w:szCs w:val="20"/>
                <w:lang w:eastAsia="hr-HR"/>
              </w:rPr>
            </w:pPr>
            <w:r w:rsidRPr="00814711">
              <w:rPr>
                <w:rFonts w:eastAsia="Times New Roman"/>
                <w:b/>
                <w:bCs/>
                <w:color w:val="000000"/>
                <w:sz w:val="20"/>
                <w:szCs w:val="20"/>
                <w:lang w:eastAsia="hr-HR"/>
              </w:rPr>
              <w:t>542</w:t>
            </w:r>
          </w:p>
        </w:tc>
      </w:tr>
    </w:tbl>
    <w:p w:rsidR="005C3DCA" w:rsidRDefault="005C3DCA" w:rsidP="00CD69C8">
      <w:pPr>
        <w:pStyle w:val="Izvorpodataka"/>
      </w:pPr>
      <w:r w:rsidRPr="00814711">
        <w:t>Izvor: Tuzlanski kanton u brojkama 2016</w:t>
      </w:r>
    </w:p>
    <w:p w:rsidR="005C3DCA" w:rsidRPr="00E83C5A" w:rsidRDefault="005C3DCA" w:rsidP="003019A8">
      <w:pPr>
        <w:rPr>
          <w:lang w:val="hr-HR" w:eastAsia="ar-SA"/>
        </w:rPr>
      </w:pPr>
      <w:r w:rsidRPr="00814711">
        <w:rPr>
          <w:lang w:val="hr-HR" w:eastAsia="ar-SA"/>
        </w:rPr>
        <w:t>Mala i srednja preduzeća su nosioci privrednog razvoja općine Kalesija. Prema</w:t>
      </w:r>
      <w:r>
        <w:rPr>
          <w:lang w:val="hr-HR" w:eastAsia="ar-SA"/>
        </w:rPr>
        <w:t xml:space="preserve"> podacima iz 2016. godine, v</w:t>
      </w:r>
      <w:r w:rsidRPr="005F5DCD">
        <w:rPr>
          <w:lang w:val="hr-HR" w:eastAsia="ar-SA"/>
        </w:rPr>
        <w:t>ećina novih privrednih subjekata su mikro preduzeća sa manje od 5 zaposlenih. U posljednjih devet godina broj registriranih mikro preduzeća se utrostručio. Broj malih preduzeća (u privatnom vlasništvu) koja zapošljavaju do 50 djelatnika se povećao za sedam puta. Broj srednjih preduzeća koja zapošljavaju do 250 djelatnika je relativno mali, i od ukupno 15 preduzeća srednje veličine</w:t>
      </w:r>
      <w:r>
        <w:rPr>
          <w:lang w:val="hr-HR" w:eastAsia="ar-SA"/>
        </w:rPr>
        <w:t>,</w:t>
      </w:r>
      <w:r w:rsidRPr="005F5DCD">
        <w:rPr>
          <w:lang w:val="hr-HR" w:eastAsia="ar-SA"/>
        </w:rPr>
        <w:t xml:space="preserve"> 11 su u pretežno državnom vlasništvu. Preduzeća srednje veličine čine samo 2% od ukupnog broja registriranih pravnih osoba, dok mikro preduzeća čine većinu, odnosno 92% svih registriranih pravnih osoba. </w:t>
      </w:r>
      <w:r w:rsidRPr="00DF26E9">
        <w:rPr>
          <w:lang w:val="hr-HR" w:eastAsia="ar-SA"/>
        </w:rPr>
        <w:t xml:space="preserve">Ako se uporede podaci </w:t>
      </w:r>
      <w:r w:rsidRPr="00DF26E9">
        <w:rPr>
          <w:lang w:val="hr-HR" w:eastAsia="ar-SA"/>
        </w:rPr>
        <w:lastRenderedPageBreak/>
        <w:t>općine Kalesija sa ostalim općinama na TK može se zakl</w:t>
      </w:r>
      <w:r>
        <w:rPr>
          <w:lang w:val="hr-HR" w:eastAsia="ar-SA"/>
        </w:rPr>
        <w:t>jučiti da Kalesija ima najmanji</w:t>
      </w:r>
      <w:r w:rsidRPr="00DF26E9">
        <w:rPr>
          <w:lang w:val="hr-HR" w:eastAsia="ar-SA"/>
        </w:rPr>
        <w:t xml:space="preserve"> broj registrovanih preduzeća, svega 42 na 1000 stanovnika</w:t>
      </w:r>
      <w:r>
        <w:rPr>
          <w:lang w:val="hr-HR" w:eastAsia="ar-SA"/>
        </w:rPr>
        <w:t xml:space="preserve">, što je </w:t>
      </w:r>
      <w:r w:rsidRPr="00DF26E9">
        <w:rPr>
          <w:lang w:val="hr-HR" w:eastAsia="ar-SA"/>
        </w:rPr>
        <w:t>za 29%</w:t>
      </w:r>
      <w:r>
        <w:rPr>
          <w:lang w:val="hr-HR" w:eastAsia="ar-SA"/>
        </w:rPr>
        <w:t xml:space="preserve"> </w:t>
      </w:r>
      <w:r w:rsidRPr="00DF26E9">
        <w:rPr>
          <w:lang w:val="hr-HR" w:eastAsia="ar-SA"/>
        </w:rPr>
        <w:t>niž</w:t>
      </w:r>
      <w:r>
        <w:rPr>
          <w:lang w:val="hr-HR" w:eastAsia="ar-SA"/>
        </w:rPr>
        <w:t>e</w:t>
      </w:r>
      <w:r w:rsidRPr="00DF26E9">
        <w:rPr>
          <w:lang w:val="hr-HR" w:eastAsia="ar-SA"/>
        </w:rPr>
        <w:t xml:space="preserve"> od </w:t>
      </w:r>
      <w:r>
        <w:rPr>
          <w:lang w:val="hr-HR" w:eastAsia="ar-SA"/>
        </w:rPr>
        <w:t>prosječnog broja preduzeća na 1000 stanovnika u općinama</w:t>
      </w:r>
      <w:r w:rsidRPr="00DF26E9">
        <w:rPr>
          <w:lang w:val="hr-HR" w:eastAsia="ar-SA"/>
        </w:rPr>
        <w:t xml:space="preserve"> TK</w:t>
      </w:r>
      <w:r w:rsidR="00EE353E">
        <w:rPr>
          <w:lang w:val="hr-HR" w:eastAsia="ar-SA"/>
        </w:rPr>
        <w:t xml:space="preserve"> (tabela 3)</w:t>
      </w:r>
      <w:r w:rsidRPr="00DF26E9">
        <w:rPr>
          <w:lang w:val="hr-HR" w:eastAsia="ar-SA"/>
        </w:rPr>
        <w:t>.</w:t>
      </w:r>
    </w:p>
    <w:p w:rsidR="001B2932" w:rsidRPr="00B166AB" w:rsidRDefault="00D26304" w:rsidP="00AD59CB">
      <w:pPr>
        <w:pStyle w:val="GrafiTabele"/>
      </w:pPr>
      <w:r w:rsidRPr="00B166AB">
        <w:t xml:space="preserve">Tabela </w:t>
      </w:r>
      <w:r w:rsidR="003E1580">
        <w:t>3</w:t>
      </w:r>
      <w:r w:rsidR="001B2932" w:rsidRPr="00B166AB">
        <w:t>:</w:t>
      </w:r>
      <w:r w:rsidR="00E83C5A" w:rsidRPr="00B166AB">
        <w:t xml:space="preserve"> Struktura poslovnih subjekata </w:t>
      </w:r>
      <w:r w:rsidR="00B166AB">
        <w:t>u općinama TK</w:t>
      </w:r>
      <w:r w:rsidR="00EE353E">
        <w:t>, 2016. godina</w:t>
      </w:r>
    </w:p>
    <w:tbl>
      <w:tblPr>
        <w:tblStyle w:val="TableGrid"/>
        <w:tblW w:w="9606" w:type="dxa"/>
        <w:tblLayout w:type="fixed"/>
        <w:tblLook w:val="04A0" w:firstRow="1" w:lastRow="0" w:firstColumn="1" w:lastColumn="0" w:noHBand="0" w:noVBand="1"/>
      </w:tblPr>
      <w:tblGrid>
        <w:gridCol w:w="1346"/>
        <w:gridCol w:w="1290"/>
        <w:gridCol w:w="1394"/>
        <w:gridCol w:w="1394"/>
        <w:gridCol w:w="1394"/>
        <w:gridCol w:w="1394"/>
        <w:gridCol w:w="1394"/>
      </w:tblGrid>
      <w:tr w:rsidR="00BE488A" w:rsidRPr="00814711" w:rsidTr="00B166AB">
        <w:tc>
          <w:tcPr>
            <w:tcW w:w="1346" w:type="dxa"/>
            <w:vMerge w:val="restart"/>
            <w:shd w:val="clear" w:color="auto" w:fill="D9D9D9" w:themeFill="background1" w:themeFillShade="D9"/>
            <w:vAlign w:val="center"/>
          </w:tcPr>
          <w:p w:rsidR="00BE488A" w:rsidRPr="00814711" w:rsidRDefault="00BE488A" w:rsidP="003E1580">
            <w:pPr>
              <w:suppressAutoHyphens/>
              <w:spacing w:before="20" w:after="20"/>
              <w:jc w:val="center"/>
              <w:rPr>
                <w:b/>
                <w:lang w:val="hr-HR" w:eastAsia="ar-SA"/>
              </w:rPr>
            </w:pPr>
            <w:r w:rsidRPr="00814711">
              <w:rPr>
                <w:b/>
                <w:lang w:val="hr-HR" w:eastAsia="ar-SA"/>
              </w:rPr>
              <w:t>Općina</w:t>
            </w:r>
          </w:p>
        </w:tc>
        <w:tc>
          <w:tcPr>
            <w:tcW w:w="1290" w:type="dxa"/>
            <w:vMerge w:val="restart"/>
            <w:shd w:val="clear" w:color="auto" w:fill="D9D9D9" w:themeFill="background1" w:themeFillShade="D9"/>
            <w:vAlign w:val="center"/>
          </w:tcPr>
          <w:p w:rsidR="00BE488A" w:rsidRPr="00814711" w:rsidRDefault="00BE488A" w:rsidP="003E1580">
            <w:pPr>
              <w:suppressAutoHyphens/>
              <w:spacing w:before="20" w:after="20"/>
              <w:jc w:val="center"/>
              <w:rPr>
                <w:b/>
                <w:lang w:val="hr-HR" w:eastAsia="ar-SA"/>
              </w:rPr>
            </w:pPr>
            <w:r w:rsidRPr="00814711">
              <w:rPr>
                <w:b/>
                <w:lang w:val="hr-HR" w:eastAsia="ar-SA"/>
              </w:rPr>
              <w:t>Stanovništvo</w:t>
            </w:r>
          </w:p>
        </w:tc>
        <w:tc>
          <w:tcPr>
            <w:tcW w:w="5576" w:type="dxa"/>
            <w:gridSpan w:val="4"/>
            <w:shd w:val="clear" w:color="auto" w:fill="D9D9D9" w:themeFill="background1" w:themeFillShade="D9"/>
            <w:vAlign w:val="center"/>
          </w:tcPr>
          <w:p w:rsidR="00BE488A" w:rsidRPr="00814711" w:rsidRDefault="00BE488A" w:rsidP="003E1580">
            <w:pPr>
              <w:suppressAutoHyphens/>
              <w:spacing w:before="20" w:after="20"/>
              <w:jc w:val="center"/>
              <w:rPr>
                <w:b/>
                <w:lang w:val="hr-HR" w:eastAsia="ar-SA"/>
              </w:rPr>
            </w:pPr>
            <w:r w:rsidRPr="00814711">
              <w:rPr>
                <w:b/>
                <w:lang w:val="hr-HR" w:eastAsia="ar-SA"/>
              </w:rPr>
              <w:t>Broj preduzeća</w:t>
            </w:r>
          </w:p>
        </w:tc>
        <w:tc>
          <w:tcPr>
            <w:tcW w:w="1394" w:type="dxa"/>
            <w:vMerge w:val="restart"/>
            <w:shd w:val="clear" w:color="auto" w:fill="D9D9D9" w:themeFill="background1" w:themeFillShade="D9"/>
            <w:vAlign w:val="center"/>
          </w:tcPr>
          <w:p w:rsidR="00BE488A" w:rsidRPr="00814711" w:rsidRDefault="00BE488A" w:rsidP="003E1580">
            <w:pPr>
              <w:suppressAutoHyphens/>
              <w:spacing w:before="20" w:after="20"/>
              <w:jc w:val="center"/>
              <w:rPr>
                <w:b/>
                <w:lang w:val="hr-HR" w:eastAsia="ar-SA"/>
              </w:rPr>
            </w:pPr>
            <w:r w:rsidRPr="00814711">
              <w:rPr>
                <w:b/>
                <w:lang w:val="hr-HR" w:eastAsia="ar-SA"/>
              </w:rPr>
              <w:t>Broj</w:t>
            </w:r>
          </w:p>
          <w:p w:rsidR="00BE488A" w:rsidRPr="00814711" w:rsidRDefault="00BE488A" w:rsidP="003E1580">
            <w:pPr>
              <w:suppressAutoHyphens/>
              <w:spacing w:before="20" w:after="20"/>
              <w:jc w:val="center"/>
              <w:rPr>
                <w:b/>
                <w:lang w:val="hr-HR" w:eastAsia="ar-SA"/>
              </w:rPr>
            </w:pPr>
            <w:r w:rsidRPr="00814711">
              <w:rPr>
                <w:b/>
                <w:lang w:val="hr-HR" w:eastAsia="ar-SA"/>
              </w:rPr>
              <w:t>preduzeća</w:t>
            </w:r>
          </w:p>
          <w:p w:rsidR="00BE488A" w:rsidRPr="00814711" w:rsidRDefault="00BE488A" w:rsidP="003E1580">
            <w:pPr>
              <w:suppressAutoHyphens/>
              <w:spacing w:before="20" w:after="20"/>
              <w:jc w:val="center"/>
              <w:rPr>
                <w:b/>
                <w:lang w:val="hr-HR" w:eastAsia="ar-SA"/>
              </w:rPr>
            </w:pPr>
            <w:r w:rsidRPr="00814711">
              <w:rPr>
                <w:b/>
                <w:lang w:val="hr-HR" w:eastAsia="ar-SA"/>
              </w:rPr>
              <w:t>na 1000</w:t>
            </w:r>
          </w:p>
          <w:p w:rsidR="00BE488A" w:rsidRPr="00814711" w:rsidRDefault="00BE488A" w:rsidP="003E1580">
            <w:pPr>
              <w:suppressAutoHyphens/>
              <w:spacing w:before="20" w:after="20"/>
              <w:jc w:val="center"/>
              <w:rPr>
                <w:b/>
                <w:lang w:val="hr-HR" w:eastAsia="ar-SA"/>
              </w:rPr>
            </w:pPr>
            <w:r w:rsidRPr="00814711">
              <w:rPr>
                <w:b/>
                <w:lang w:val="hr-HR" w:eastAsia="ar-SA"/>
              </w:rPr>
              <w:t>stanovnika</w:t>
            </w:r>
          </w:p>
        </w:tc>
      </w:tr>
      <w:tr w:rsidR="00BE488A" w:rsidRPr="00814711" w:rsidTr="00B166AB">
        <w:tc>
          <w:tcPr>
            <w:tcW w:w="1346" w:type="dxa"/>
            <w:vMerge/>
            <w:shd w:val="clear" w:color="auto" w:fill="D9D9D9" w:themeFill="background1" w:themeFillShade="D9"/>
            <w:vAlign w:val="center"/>
          </w:tcPr>
          <w:p w:rsidR="00BE488A" w:rsidRPr="00814711" w:rsidRDefault="00BE488A" w:rsidP="003E1580">
            <w:pPr>
              <w:suppressAutoHyphens/>
              <w:spacing w:before="20" w:after="20"/>
              <w:jc w:val="center"/>
              <w:rPr>
                <w:b/>
                <w:lang w:val="hr-HR" w:eastAsia="ar-SA"/>
              </w:rPr>
            </w:pPr>
          </w:p>
        </w:tc>
        <w:tc>
          <w:tcPr>
            <w:tcW w:w="1290" w:type="dxa"/>
            <w:vMerge/>
            <w:shd w:val="clear" w:color="auto" w:fill="D9D9D9" w:themeFill="background1" w:themeFillShade="D9"/>
            <w:vAlign w:val="center"/>
          </w:tcPr>
          <w:p w:rsidR="00BE488A" w:rsidRPr="00814711" w:rsidRDefault="00BE488A" w:rsidP="003E1580">
            <w:pPr>
              <w:suppressAutoHyphens/>
              <w:spacing w:before="20" w:after="20"/>
              <w:jc w:val="center"/>
              <w:rPr>
                <w:b/>
                <w:lang w:val="hr-HR" w:eastAsia="ar-SA"/>
              </w:rPr>
            </w:pPr>
          </w:p>
        </w:tc>
        <w:tc>
          <w:tcPr>
            <w:tcW w:w="1394" w:type="dxa"/>
            <w:shd w:val="clear" w:color="auto" w:fill="D9D9D9" w:themeFill="background1" w:themeFillShade="D9"/>
            <w:vAlign w:val="center"/>
          </w:tcPr>
          <w:p w:rsidR="00BE488A" w:rsidRPr="00814711" w:rsidRDefault="00BE488A" w:rsidP="003E1580">
            <w:pPr>
              <w:suppressAutoHyphens/>
              <w:spacing w:before="20" w:after="20"/>
              <w:jc w:val="center"/>
              <w:rPr>
                <w:b/>
                <w:lang w:val="hr-HR" w:eastAsia="ar-SA"/>
              </w:rPr>
            </w:pPr>
            <w:r w:rsidRPr="00814711">
              <w:rPr>
                <w:b/>
                <w:lang w:val="hr-HR" w:eastAsia="ar-SA"/>
              </w:rPr>
              <w:t>Ukupno</w:t>
            </w:r>
          </w:p>
        </w:tc>
        <w:tc>
          <w:tcPr>
            <w:tcW w:w="1394" w:type="dxa"/>
            <w:shd w:val="clear" w:color="auto" w:fill="D9D9D9" w:themeFill="background1" w:themeFillShade="D9"/>
            <w:vAlign w:val="center"/>
          </w:tcPr>
          <w:p w:rsidR="00BE488A" w:rsidRPr="00814711" w:rsidRDefault="00BE488A" w:rsidP="003E1580">
            <w:pPr>
              <w:suppressAutoHyphens/>
              <w:spacing w:before="20" w:after="20"/>
              <w:jc w:val="center"/>
              <w:rPr>
                <w:b/>
                <w:lang w:val="hr-HR" w:eastAsia="ar-SA"/>
              </w:rPr>
            </w:pPr>
            <w:r w:rsidRPr="00814711">
              <w:rPr>
                <w:b/>
                <w:lang w:val="hr-HR" w:eastAsia="ar-SA"/>
              </w:rPr>
              <w:t>Pravna</w:t>
            </w:r>
          </w:p>
          <w:p w:rsidR="00BE488A" w:rsidRPr="00814711" w:rsidRDefault="00BE488A" w:rsidP="003E1580">
            <w:pPr>
              <w:suppressAutoHyphens/>
              <w:spacing w:before="20" w:after="20"/>
              <w:jc w:val="center"/>
              <w:rPr>
                <w:b/>
                <w:lang w:val="hr-HR" w:eastAsia="ar-SA"/>
              </w:rPr>
            </w:pPr>
            <w:r w:rsidRPr="00814711">
              <w:rPr>
                <w:b/>
                <w:lang w:val="hr-HR" w:eastAsia="ar-SA"/>
              </w:rPr>
              <w:t>lica</w:t>
            </w:r>
          </w:p>
        </w:tc>
        <w:tc>
          <w:tcPr>
            <w:tcW w:w="1394" w:type="dxa"/>
            <w:shd w:val="clear" w:color="auto" w:fill="D9D9D9" w:themeFill="background1" w:themeFillShade="D9"/>
            <w:vAlign w:val="center"/>
          </w:tcPr>
          <w:p w:rsidR="00BE488A" w:rsidRPr="00814711" w:rsidRDefault="00BE488A" w:rsidP="003E1580">
            <w:pPr>
              <w:suppressAutoHyphens/>
              <w:spacing w:before="20" w:after="20"/>
              <w:jc w:val="center"/>
              <w:rPr>
                <w:b/>
                <w:lang w:val="hr-HR" w:eastAsia="ar-SA"/>
              </w:rPr>
            </w:pPr>
            <w:r w:rsidRPr="00814711">
              <w:rPr>
                <w:b/>
                <w:lang w:val="hr-HR" w:eastAsia="ar-SA"/>
              </w:rPr>
              <w:t>Podružnice</w:t>
            </w:r>
          </w:p>
          <w:p w:rsidR="00BE488A" w:rsidRPr="00814711" w:rsidRDefault="00BE488A" w:rsidP="003E1580">
            <w:pPr>
              <w:suppressAutoHyphens/>
              <w:spacing w:before="20" w:after="20"/>
              <w:jc w:val="center"/>
              <w:rPr>
                <w:b/>
                <w:lang w:val="hr-HR" w:eastAsia="ar-SA"/>
              </w:rPr>
            </w:pPr>
            <w:r w:rsidRPr="00814711">
              <w:rPr>
                <w:b/>
                <w:lang w:val="hr-HR" w:eastAsia="ar-SA"/>
              </w:rPr>
              <w:t>u sastavu</w:t>
            </w:r>
          </w:p>
          <w:p w:rsidR="00BE488A" w:rsidRPr="00814711" w:rsidRDefault="00BE488A" w:rsidP="003E1580">
            <w:pPr>
              <w:suppressAutoHyphens/>
              <w:spacing w:before="20" w:after="20"/>
              <w:jc w:val="center"/>
              <w:rPr>
                <w:b/>
                <w:lang w:val="hr-HR" w:eastAsia="ar-SA"/>
              </w:rPr>
            </w:pPr>
            <w:r w:rsidRPr="00814711">
              <w:rPr>
                <w:b/>
                <w:lang w:val="hr-HR" w:eastAsia="ar-SA"/>
              </w:rPr>
              <w:t>pravnih lica</w:t>
            </w:r>
          </w:p>
        </w:tc>
        <w:tc>
          <w:tcPr>
            <w:tcW w:w="1394" w:type="dxa"/>
            <w:shd w:val="clear" w:color="auto" w:fill="D9D9D9" w:themeFill="background1" w:themeFillShade="D9"/>
            <w:vAlign w:val="center"/>
          </w:tcPr>
          <w:p w:rsidR="00BE488A" w:rsidRPr="00814711" w:rsidRDefault="00BE488A" w:rsidP="003E1580">
            <w:pPr>
              <w:suppressAutoHyphens/>
              <w:spacing w:before="20" w:after="20"/>
              <w:jc w:val="center"/>
              <w:rPr>
                <w:b/>
                <w:lang w:val="hr-HR" w:eastAsia="ar-SA"/>
              </w:rPr>
            </w:pPr>
            <w:r w:rsidRPr="00814711">
              <w:rPr>
                <w:b/>
                <w:lang w:val="hr-HR" w:eastAsia="ar-SA"/>
              </w:rPr>
              <w:t>Fizička</w:t>
            </w:r>
          </w:p>
          <w:p w:rsidR="00BE488A" w:rsidRPr="00814711" w:rsidRDefault="00BE488A" w:rsidP="003E1580">
            <w:pPr>
              <w:suppressAutoHyphens/>
              <w:spacing w:before="20" w:after="20"/>
              <w:jc w:val="center"/>
              <w:rPr>
                <w:b/>
                <w:lang w:val="hr-HR" w:eastAsia="ar-SA"/>
              </w:rPr>
            </w:pPr>
            <w:r w:rsidRPr="00814711">
              <w:rPr>
                <w:b/>
                <w:lang w:val="hr-HR" w:eastAsia="ar-SA"/>
              </w:rPr>
              <w:t>lica</w:t>
            </w:r>
          </w:p>
          <w:p w:rsidR="00BE488A" w:rsidRPr="00814711" w:rsidRDefault="00BE488A" w:rsidP="003E1580">
            <w:pPr>
              <w:suppressAutoHyphens/>
              <w:spacing w:before="20" w:after="20"/>
              <w:jc w:val="center"/>
              <w:rPr>
                <w:b/>
                <w:lang w:val="hr-HR" w:eastAsia="ar-SA"/>
              </w:rPr>
            </w:pPr>
            <w:r w:rsidRPr="00814711">
              <w:rPr>
                <w:b/>
                <w:lang w:val="hr-HR" w:eastAsia="ar-SA"/>
              </w:rPr>
              <w:t>obrtnici</w:t>
            </w:r>
          </w:p>
        </w:tc>
        <w:tc>
          <w:tcPr>
            <w:tcW w:w="1394" w:type="dxa"/>
            <w:vMerge/>
            <w:shd w:val="clear" w:color="auto" w:fill="D9D9D9" w:themeFill="background1" w:themeFillShade="D9"/>
            <w:vAlign w:val="center"/>
          </w:tcPr>
          <w:p w:rsidR="00BE488A" w:rsidRPr="00814711" w:rsidRDefault="00BE488A" w:rsidP="003E1580">
            <w:pPr>
              <w:suppressAutoHyphens/>
              <w:spacing w:before="20" w:after="20"/>
              <w:jc w:val="center"/>
              <w:rPr>
                <w:b/>
                <w:lang w:val="hr-HR" w:eastAsia="ar-SA"/>
              </w:rPr>
            </w:pPr>
          </w:p>
        </w:tc>
      </w:tr>
      <w:tr w:rsidR="00BE488A" w:rsidRPr="00814711" w:rsidTr="00B166AB">
        <w:tc>
          <w:tcPr>
            <w:tcW w:w="1346" w:type="dxa"/>
            <w:shd w:val="clear" w:color="auto" w:fill="D9D9D9" w:themeFill="background1" w:themeFillShade="D9"/>
            <w:vAlign w:val="center"/>
          </w:tcPr>
          <w:p w:rsidR="00BE488A" w:rsidRPr="00814711" w:rsidRDefault="00BE488A" w:rsidP="003E1580">
            <w:pPr>
              <w:suppressAutoHyphens/>
              <w:spacing w:before="20" w:after="20"/>
              <w:jc w:val="center"/>
              <w:rPr>
                <w:b/>
                <w:lang w:val="hr-HR" w:eastAsia="ar-SA"/>
              </w:rPr>
            </w:pPr>
            <w:r w:rsidRPr="00814711">
              <w:rPr>
                <w:b/>
                <w:lang w:val="hr-HR" w:eastAsia="ar-SA"/>
              </w:rPr>
              <w:t>1</w:t>
            </w:r>
          </w:p>
        </w:tc>
        <w:tc>
          <w:tcPr>
            <w:tcW w:w="1290" w:type="dxa"/>
            <w:shd w:val="clear" w:color="auto" w:fill="D9D9D9" w:themeFill="background1" w:themeFillShade="D9"/>
            <w:vAlign w:val="center"/>
          </w:tcPr>
          <w:p w:rsidR="00BE488A" w:rsidRPr="00814711" w:rsidRDefault="00BE488A" w:rsidP="003E1580">
            <w:pPr>
              <w:suppressAutoHyphens/>
              <w:spacing w:before="20" w:after="20"/>
              <w:jc w:val="center"/>
              <w:rPr>
                <w:b/>
                <w:lang w:val="hr-HR" w:eastAsia="ar-SA"/>
              </w:rPr>
            </w:pPr>
            <w:r w:rsidRPr="00814711">
              <w:rPr>
                <w:b/>
                <w:lang w:val="hr-HR" w:eastAsia="ar-SA"/>
              </w:rPr>
              <w:t>2</w:t>
            </w:r>
          </w:p>
        </w:tc>
        <w:tc>
          <w:tcPr>
            <w:tcW w:w="1394" w:type="dxa"/>
            <w:shd w:val="clear" w:color="auto" w:fill="D9D9D9" w:themeFill="background1" w:themeFillShade="D9"/>
            <w:vAlign w:val="center"/>
          </w:tcPr>
          <w:p w:rsidR="00BE488A" w:rsidRPr="00814711" w:rsidRDefault="00BE488A" w:rsidP="003E1580">
            <w:pPr>
              <w:suppressAutoHyphens/>
              <w:spacing w:before="20" w:after="20"/>
              <w:jc w:val="center"/>
              <w:rPr>
                <w:b/>
                <w:lang w:val="hr-HR" w:eastAsia="ar-SA"/>
              </w:rPr>
            </w:pPr>
            <w:r w:rsidRPr="00814711">
              <w:rPr>
                <w:b/>
                <w:lang w:val="hr-HR" w:eastAsia="ar-SA"/>
              </w:rPr>
              <w:t>3</w:t>
            </w:r>
          </w:p>
        </w:tc>
        <w:tc>
          <w:tcPr>
            <w:tcW w:w="1394" w:type="dxa"/>
            <w:shd w:val="clear" w:color="auto" w:fill="D9D9D9" w:themeFill="background1" w:themeFillShade="D9"/>
            <w:vAlign w:val="center"/>
          </w:tcPr>
          <w:p w:rsidR="00BE488A" w:rsidRPr="00814711" w:rsidRDefault="00BE488A" w:rsidP="003E1580">
            <w:pPr>
              <w:suppressAutoHyphens/>
              <w:spacing w:before="20" w:after="20"/>
              <w:jc w:val="center"/>
              <w:rPr>
                <w:b/>
                <w:lang w:val="hr-HR" w:eastAsia="ar-SA"/>
              </w:rPr>
            </w:pPr>
            <w:r w:rsidRPr="00814711">
              <w:rPr>
                <w:b/>
                <w:lang w:val="hr-HR" w:eastAsia="ar-SA"/>
              </w:rPr>
              <w:t>4</w:t>
            </w:r>
          </w:p>
        </w:tc>
        <w:tc>
          <w:tcPr>
            <w:tcW w:w="1394" w:type="dxa"/>
            <w:shd w:val="clear" w:color="auto" w:fill="D9D9D9" w:themeFill="background1" w:themeFillShade="D9"/>
            <w:vAlign w:val="center"/>
          </w:tcPr>
          <w:p w:rsidR="00BE488A" w:rsidRPr="00814711" w:rsidRDefault="00BE488A" w:rsidP="003E1580">
            <w:pPr>
              <w:suppressAutoHyphens/>
              <w:spacing w:before="20" w:after="20"/>
              <w:jc w:val="center"/>
              <w:rPr>
                <w:b/>
                <w:lang w:val="hr-HR" w:eastAsia="ar-SA"/>
              </w:rPr>
            </w:pPr>
            <w:r w:rsidRPr="00814711">
              <w:rPr>
                <w:b/>
                <w:lang w:val="hr-HR" w:eastAsia="ar-SA"/>
              </w:rPr>
              <w:t>5</w:t>
            </w:r>
          </w:p>
        </w:tc>
        <w:tc>
          <w:tcPr>
            <w:tcW w:w="1394" w:type="dxa"/>
            <w:shd w:val="clear" w:color="auto" w:fill="D9D9D9" w:themeFill="background1" w:themeFillShade="D9"/>
            <w:vAlign w:val="center"/>
          </w:tcPr>
          <w:p w:rsidR="00BE488A" w:rsidRPr="00814711" w:rsidRDefault="00BE488A" w:rsidP="003E1580">
            <w:pPr>
              <w:suppressAutoHyphens/>
              <w:spacing w:before="20" w:after="20"/>
              <w:jc w:val="center"/>
              <w:rPr>
                <w:b/>
                <w:lang w:val="hr-HR" w:eastAsia="ar-SA"/>
              </w:rPr>
            </w:pPr>
            <w:r w:rsidRPr="00814711">
              <w:rPr>
                <w:b/>
                <w:lang w:val="hr-HR" w:eastAsia="ar-SA"/>
              </w:rPr>
              <w:t>6</w:t>
            </w:r>
          </w:p>
        </w:tc>
        <w:tc>
          <w:tcPr>
            <w:tcW w:w="1394" w:type="dxa"/>
            <w:shd w:val="clear" w:color="auto" w:fill="D9D9D9" w:themeFill="background1" w:themeFillShade="D9"/>
            <w:vAlign w:val="center"/>
          </w:tcPr>
          <w:p w:rsidR="00BE488A" w:rsidRPr="00814711" w:rsidRDefault="00BE488A" w:rsidP="003E1580">
            <w:pPr>
              <w:suppressAutoHyphens/>
              <w:spacing w:before="20" w:after="20"/>
              <w:jc w:val="center"/>
              <w:rPr>
                <w:b/>
                <w:lang w:val="hr-HR" w:eastAsia="ar-SA"/>
              </w:rPr>
            </w:pPr>
            <w:r w:rsidRPr="00814711">
              <w:rPr>
                <w:b/>
                <w:lang w:val="hr-HR" w:eastAsia="ar-SA"/>
              </w:rPr>
              <w:t>7</w:t>
            </w:r>
          </w:p>
        </w:tc>
      </w:tr>
      <w:tr w:rsidR="00BE488A" w:rsidRPr="00814711" w:rsidTr="00B166AB">
        <w:tc>
          <w:tcPr>
            <w:tcW w:w="1346" w:type="dxa"/>
            <w:shd w:val="clear" w:color="auto" w:fill="FFFFFF" w:themeFill="background1"/>
          </w:tcPr>
          <w:p w:rsidR="00BE488A" w:rsidRPr="00814711" w:rsidRDefault="00BE488A" w:rsidP="003E1580">
            <w:pPr>
              <w:suppressAutoHyphens/>
              <w:spacing w:before="20" w:after="20"/>
              <w:rPr>
                <w:lang w:val="hr-HR" w:eastAsia="ar-SA"/>
              </w:rPr>
            </w:pPr>
            <w:r w:rsidRPr="00814711">
              <w:rPr>
                <w:lang w:val="hr-HR" w:eastAsia="ar-SA"/>
              </w:rPr>
              <w:t>Banovići</w:t>
            </w:r>
          </w:p>
        </w:tc>
        <w:tc>
          <w:tcPr>
            <w:tcW w:w="1290"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22.827</w:t>
            </w:r>
          </w:p>
        </w:tc>
        <w:tc>
          <w:tcPr>
            <w:tcW w:w="1394" w:type="dxa"/>
            <w:shd w:val="clear" w:color="auto" w:fill="FFFFFF" w:themeFill="background1"/>
            <w:vAlign w:val="center"/>
          </w:tcPr>
          <w:p w:rsidR="00BE488A" w:rsidRPr="00814711" w:rsidRDefault="00BE488A" w:rsidP="003E1580">
            <w:pPr>
              <w:tabs>
                <w:tab w:val="left" w:pos="219"/>
              </w:tabs>
              <w:suppressAutoHyphens/>
              <w:spacing w:before="20" w:after="20"/>
              <w:jc w:val="right"/>
              <w:rPr>
                <w:lang w:val="hr-HR" w:eastAsia="ar-SA"/>
              </w:rPr>
            </w:pPr>
            <w:r w:rsidRPr="00814711">
              <w:rPr>
                <w:lang w:val="hr-HR" w:eastAsia="ar-SA"/>
              </w:rPr>
              <w:t>960</w:t>
            </w:r>
          </w:p>
        </w:tc>
        <w:tc>
          <w:tcPr>
            <w:tcW w:w="1394" w:type="dxa"/>
            <w:shd w:val="clear" w:color="auto" w:fill="FFFFFF" w:themeFill="background1"/>
            <w:vAlign w:val="center"/>
          </w:tcPr>
          <w:p w:rsidR="00BE488A" w:rsidRPr="00814711" w:rsidRDefault="00BE488A" w:rsidP="003E1580">
            <w:pPr>
              <w:suppressAutoHyphens/>
              <w:spacing w:before="20" w:after="20"/>
              <w:ind w:left="34"/>
              <w:jc w:val="right"/>
              <w:rPr>
                <w:lang w:val="hr-HR" w:eastAsia="ar-SA"/>
              </w:rPr>
            </w:pPr>
            <w:r w:rsidRPr="00814711">
              <w:rPr>
                <w:lang w:val="hr-HR" w:eastAsia="ar-SA"/>
              </w:rPr>
              <w:t>305</w:t>
            </w:r>
          </w:p>
        </w:tc>
        <w:tc>
          <w:tcPr>
            <w:tcW w:w="1394" w:type="dxa"/>
            <w:shd w:val="clear" w:color="auto" w:fill="FFFFFF" w:themeFill="background1"/>
            <w:vAlign w:val="center"/>
          </w:tcPr>
          <w:p w:rsidR="00BE488A" w:rsidRPr="00814711" w:rsidRDefault="00BE488A" w:rsidP="003E1580">
            <w:pPr>
              <w:suppressAutoHyphens/>
              <w:spacing w:before="20" w:after="20"/>
              <w:ind w:left="49"/>
              <w:jc w:val="right"/>
              <w:rPr>
                <w:lang w:val="hr-HR" w:eastAsia="ar-SA"/>
              </w:rPr>
            </w:pPr>
            <w:r w:rsidRPr="00814711">
              <w:rPr>
                <w:lang w:val="hr-HR" w:eastAsia="ar-SA"/>
              </w:rPr>
              <w:t>203</w:t>
            </w:r>
          </w:p>
        </w:tc>
        <w:tc>
          <w:tcPr>
            <w:tcW w:w="1394" w:type="dxa"/>
            <w:shd w:val="clear" w:color="auto" w:fill="FFFFFF" w:themeFill="background1"/>
            <w:vAlign w:val="center"/>
          </w:tcPr>
          <w:p w:rsidR="00BE488A" w:rsidRPr="00814711" w:rsidRDefault="00BE488A" w:rsidP="003E1580">
            <w:pPr>
              <w:tabs>
                <w:tab w:val="left" w:pos="242"/>
                <w:tab w:val="left" w:pos="276"/>
              </w:tabs>
              <w:suppressAutoHyphens/>
              <w:spacing w:before="20" w:after="20"/>
              <w:jc w:val="right"/>
              <w:rPr>
                <w:lang w:val="hr-HR" w:eastAsia="ar-SA"/>
              </w:rPr>
            </w:pPr>
            <w:r w:rsidRPr="00814711">
              <w:rPr>
                <w:lang w:val="hr-HR" w:eastAsia="ar-SA"/>
              </w:rPr>
              <w:t>452</w:t>
            </w:r>
          </w:p>
        </w:tc>
        <w:tc>
          <w:tcPr>
            <w:tcW w:w="1394"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42,1</w:t>
            </w:r>
          </w:p>
        </w:tc>
      </w:tr>
      <w:tr w:rsidR="00BE488A" w:rsidRPr="00814711" w:rsidTr="00B166AB">
        <w:tc>
          <w:tcPr>
            <w:tcW w:w="1346" w:type="dxa"/>
            <w:shd w:val="clear" w:color="auto" w:fill="FFFFFF" w:themeFill="background1"/>
          </w:tcPr>
          <w:p w:rsidR="00BE488A" w:rsidRPr="00814711" w:rsidRDefault="00BE488A" w:rsidP="003E1580">
            <w:pPr>
              <w:suppressAutoHyphens/>
              <w:spacing w:before="20" w:after="20"/>
              <w:rPr>
                <w:lang w:val="hr-HR" w:eastAsia="ar-SA"/>
              </w:rPr>
            </w:pPr>
            <w:r w:rsidRPr="00814711">
              <w:rPr>
                <w:lang w:val="hr-HR" w:eastAsia="ar-SA"/>
              </w:rPr>
              <w:t>Čelić</w:t>
            </w:r>
          </w:p>
        </w:tc>
        <w:tc>
          <w:tcPr>
            <w:tcW w:w="1290"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10.276</w:t>
            </w:r>
          </w:p>
        </w:tc>
        <w:tc>
          <w:tcPr>
            <w:tcW w:w="1394" w:type="dxa"/>
            <w:shd w:val="clear" w:color="auto" w:fill="FFFFFF" w:themeFill="background1"/>
            <w:vAlign w:val="center"/>
          </w:tcPr>
          <w:p w:rsidR="00BE488A" w:rsidRPr="00814711" w:rsidRDefault="00BE488A" w:rsidP="003E1580">
            <w:pPr>
              <w:tabs>
                <w:tab w:val="left" w:pos="311"/>
              </w:tabs>
              <w:suppressAutoHyphens/>
              <w:spacing w:before="20" w:after="20"/>
              <w:jc w:val="right"/>
              <w:rPr>
                <w:lang w:val="hr-HR" w:eastAsia="ar-SA"/>
              </w:rPr>
            </w:pPr>
            <w:r w:rsidRPr="00814711">
              <w:rPr>
                <w:lang w:val="hr-HR" w:eastAsia="ar-SA"/>
              </w:rPr>
              <w:t>527</w:t>
            </w:r>
          </w:p>
        </w:tc>
        <w:tc>
          <w:tcPr>
            <w:tcW w:w="1394" w:type="dxa"/>
            <w:shd w:val="clear" w:color="auto" w:fill="FFFFFF" w:themeFill="background1"/>
            <w:vAlign w:val="center"/>
          </w:tcPr>
          <w:p w:rsidR="00BE488A" w:rsidRPr="00814711" w:rsidRDefault="00BE488A" w:rsidP="003E1580">
            <w:pPr>
              <w:suppressAutoHyphens/>
              <w:spacing w:before="20" w:after="20"/>
              <w:ind w:left="34"/>
              <w:jc w:val="right"/>
              <w:rPr>
                <w:lang w:val="hr-HR" w:eastAsia="ar-SA"/>
              </w:rPr>
            </w:pPr>
            <w:r w:rsidRPr="00814711">
              <w:rPr>
                <w:lang w:val="hr-HR" w:eastAsia="ar-SA"/>
              </w:rPr>
              <w:t>162</w:t>
            </w:r>
          </w:p>
        </w:tc>
        <w:tc>
          <w:tcPr>
            <w:tcW w:w="1394" w:type="dxa"/>
            <w:shd w:val="clear" w:color="auto" w:fill="FFFFFF" w:themeFill="background1"/>
            <w:vAlign w:val="center"/>
          </w:tcPr>
          <w:p w:rsidR="00BE488A" w:rsidRPr="00814711" w:rsidRDefault="00BE488A" w:rsidP="003E1580">
            <w:pPr>
              <w:suppressAutoHyphens/>
              <w:spacing w:before="20" w:after="20"/>
              <w:ind w:left="49"/>
              <w:jc w:val="right"/>
              <w:rPr>
                <w:lang w:val="hr-HR" w:eastAsia="ar-SA"/>
              </w:rPr>
            </w:pPr>
            <w:r w:rsidRPr="00814711">
              <w:rPr>
                <w:lang w:val="hr-HR" w:eastAsia="ar-SA"/>
              </w:rPr>
              <w:t>92</w:t>
            </w:r>
          </w:p>
        </w:tc>
        <w:tc>
          <w:tcPr>
            <w:tcW w:w="1394" w:type="dxa"/>
            <w:shd w:val="clear" w:color="auto" w:fill="FFFFFF" w:themeFill="background1"/>
            <w:vAlign w:val="center"/>
          </w:tcPr>
          <w:p w:rsidR="00BE488A" w:rsidRPr="00814711" w:rsidRDefault="00BE488A" w:rsidP="003E1580">
            <w:pPr>
              <w:tabs>
                <w:tab w:val="left" w:pos="184"/>
              </w:tabs>
              <w:suppressAutoHyphens/>
              <w:spacing w:before="20" w:after="20"/>
              <w:jc w:val="right"/>
              <w:rPr>
                <w:lang w:val="hr-HR" w:eastAsia="ar-SA"/>
              </w:rPr>
            </w:pPr>
            <w:r w:rsidRPr="00814711">
              <w:rPr>
                <w:lang w:val="hr-HR" w:eastAsia="ar-SA"/>
              </w:rPr>
              <w:t>273</w:t>
            </w:r>
          </w:p>
        </w:tc>
        <w:tc>
          <w:tcPr>
            <w:tcW w:w="1394" w:type="dxa"/>
            <w:shd w:val="clear" w:color="auto" w:fill="FFFFFF" w:themeFill="background1"/>
            <w:vAlign w:val="center"/>
          </w:tcPr>
          <w:p w:rsidR="00BE488A" w:rsidRPr="00814711" w:rsidRDefault="00BE488A" w:rsidP="003E1580">
            <w:pPr>
              <w:tabs>
                <w:tab w:val="left" w:pos="207"/>
              </w:tabs>
              <w:suppressAutoHyphens/>
              <w:spacing w:before="20" w:after="20"/>
              <w:jc w:val="right"/>
              <w:rPr>
                <w:lang w:val="hr-HR" w:eastAsia="ar-SA"/>
              </w:rPr>
            </w:pPr>
            <w:r w:rsidRPr="00814711">
              <w:rPr>
                <w:lang w:val="hr-HR" w:eastAsia="ar-SA"/>
              </w:rPr>
              <w:t>51,3</w:t>
            </w:r>
          </w:p>
        </w:tc>
      </w:tr>
      <w:tr w:rsidR="00BE488A" w:rsidRPr="00814711" w:rsidTr="00B166AB">
        <w:tc>
          <w:tcPr>
            <w:tcW w:w="1346" w:type="dxa"/>
            <w:shd w:val="clear" w:color="auto" w:fill="FFFFFF" w:themeFill="background1"/>
          </w:tcPr>
          <w:p w:rsidR="00BE488A" w:rsidRPr="00814711" w:rsidRDefault="00B166AB" w:rsidP="003E1580">
            <w:pPr>
              <w:suppressAutoHyphens/>
              <w:spacing w:before="20" w:after="20"/>
              <w:rPr>
                <w:lang w:val="hr-HR" w:eastAsia="ar-SA"/>
              </w:rPr>
            </w:pPr>
            <w:r w:rsidRPr="00814711">
              <w:rPr>
                <w:lang w:val="hr-HR" w:eastAsia="ar-SA"/>
              </w:rPr>
              <w:t xml:space="preserve">Doboj </w:t>
            </w:r>
            <w:r w:rsidR="00BE488A" w:rsidRPr="00814711">
              <w:rPr>
                <w:lang w:val="hr-HR" w:eastAsia="ar-SA"/>
              </w:rPr>
              <w:t>Istok</w:t>
            </w:r>
          </w:p>
        </w:tc>
        <w:tc>
          <w:tcPr>
            <w:tcW w:w="1290"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10.105</w:t>
            </w:r>
          </w:p>
        </w:tc>
        <w:tc>
          <w:tcPr>
            <w:tcW w:w="1394" w:type="dxa"/>
            <w:shd w:val="clear" w:color="auto" w:fill="FFFFFF" w:themeFill="background1"/>
            <w:vAlign w:val="center"/>
          </w:tcPr>
          <w:p w:rsidR="00BE488A" w:rsidRPr="00814711" w:rsidRDefault="00BE488A" w:rsidP="003E1580">
            <w:pPr>
              <w:tabs>
                <w:tab w:val="left" w:pos="449"/>
              </w:tabs>
              <w:suppressAutoHyphens/>
              <w:spacing w:before="20" w:after="20"/>
              <w:jc w:val="right"/>
              <w:rPr>
                <w:lang w:val="hr-HR" w:eastAsia="ar-SA"/>
              </w:rPr>
            </w:pPr>
            <w:r w:rsidRPr="00814711">
              <w:rPr>
                <w:lang w:val="hr-HR" w:eastAsia="ar-SA"/>
              </w:rPr>
              <w:t>552</w:t>
            </w:r>
          </w:p>
        </w:tc>
        <w:tc>
          <w:tcPr>
            <w:tcW w:w="1394" w:type="dxa"/>
            <w:shd w:val="clear" w:color="auto" w:fill="FFFFFF" w:themeFill="background1"/>
            <w:vAlign w:val="center"/>
          </w:tcPr>
          <w:p w:rsidR="00BE488A" w:rsidRPr="00814711" w:rsidRDefault="00BE488A" w:rsidP="003E1580">
            <w:pPr>
              <w:suppressAutoHyphens/>
              <w:spacing w:before="20" w:after="20"/>
              <w:ind w:left="34"/>
              <w:jc w:val="right"/>
              <w:rPr>
                <w:lang w:val="hr-HR" w:eastAsia="ar-SA"/>
              </w:rPr>
            </w:pPr>
            <w:r w:rsidRPr="00814711">
              <w:rPr>
                <w:lang w:val="hr-HR" w:eastAsia="ar-SA"/>
              </w:rPr>
              <w:t>184</w:t>
            </w:r>
          </w:p>
        </w:tc>
        <w:tc>
          <w:tcPr>
            <w:tcW w:w="1394" w:type="dxa"/>
            <w:shd w:val="clear" w:color="auto" w:fill="FFFFFF" w:themeFill="background1"/>
            <w:vAlign w:val="center"/>
          </w:tcPr>
          <w:p w:rsidR="00BE488A" w:rsidRPr="00814711" w:rsidRDefault="00BE488A" w:rsidP="003E1580">
            <w:pPr>
              <w:suppressAutoHyphens/>
              <w:spacing w:before="20" w:after="20"/>
              <w:ind w:left="49"/>
              <w:jc w:val="right"/>
              <w:rPr>
                <w:lang w:val="hr-HR" w:eastAsia="ar-SA"/>
              </w:rPr>
            </w:pPr>
            <w:r w:rsidRPr="00814711">
              <w:rPr>
                <w:lang w:val="hr-HR" w:eastAsia="ar-SA"/>
              </w:rPr>
              <w:t>143</w:t>
            </w:r>
          </w:p>
        </w:tc>
        <w:tc>
          <w:tcPr>
            <w:tcW w:w="1394" w:type="dxa"/>
            <w:shd w:val="clear" w:color="auto" w:fill="FFFFFF" w:themeFill="background1"/>
            <w:vAlign w:val="center"/>
          </w:tcPr>
          <w:p w:rsidR="00BE488A" w:rsidRPr="00814711" w:rsidRDefault="00BE488A" w:rsidP="003E1580">
            <w:pPr>
              <w:tabs>
                <w:tab w:val="left" w:pos="461"/>
              </w:tabs>
              <w:suppressAutoHyphens/>
              <w:spacing w:before="20" w:after="20"/>
              <w:jc w:val="right"/>
              <w:rPr>
                <w:lang w:val="hr-HR" w:eastAsia="ar-SA"/>
              </w:rPr>
            </w:pPr>
            <w:r w:rsidRPr="00814711">
              <w:rPr>
                <w:lang w:val="hr-HR" w:eastAsia="ar-SA"/>
              </w:rPr>
              <w:t>225</w:t>
            </w:r>
          </w:p>
        </w:tc>
        <w:tc>
          <w:tcPr>
            <w:tcW w:w="1394"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54,6</w:t>
            </w:r>
          </w:p>
        </w:tc>
      </w:tr>
      <w:tr w:rsidR="00BE488A" w:rsidRPr="00814711" w:rsidTr="00B166AB">
        <w:tc>
          <w:tcPr>
            <w:tcW w:w="1346" w:type="dxa"/>
            <w:shd w:val="clear" w:color="auto" w:fill="FFFFFF" w:themeFill="background1"/>
          </w:tcPr>
          <w:p w:rsidR="00BE488A" w:rsidRPr="00814711" w:rsidRDefault="00BE488A" w:rsidP="003E1580">
            <w:pPr>
              <w:suppressAutoHyphens/>
              <w:spacing w:before="20" w:after="20"/>
              <w:rPr>
                <w:lang w:val="hr-HR" w:eastAsia="ar-SA"/>
              </w:rPr>
            </w:pPr>
            <w:r w:rsidRPr="00814711">
              <w:rPr>
                <w:lang w:val="hr-HR" w:eastAsia="ar-SA"/>
              </w:rPr>
              <w:t>Gračanica</w:t>
            </w:r>
          </w:p>
        </w:tc>
        <w:tc>
          <w:tcPr>
            <w:tcW w:w="1290"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45.229</w:t>
            </w:r>
          </w:p>
        </w:tc>
        <w:tc>
          <w:tcPr>
            <w:tcW w:w="1394" w:type="dxa"/>
            <w:shd w:val="clear" w:color="auto" w:fill="FFFFFF" w:themeFill="background1"/>
            <w:vAlign w:val="center"/>
          </w:tcPr>
          <w:p w:rsidR="00BE488A" w:rsidRPr="00814711" w:rsidRDefault="00BE488A" w:rsidP="003E1580">
            <w:pPr>
              <w:tabs>
                <w:tab w:val="left" w:pos="196"/>
              </w:tabs>
              <w:suppressAutoHyphens/>
              <w:spacing w:before="20" w:after="20"/>
              <w:jc w:val="right"/>
              <w:rPr>
                <w:lang w:val="hr-HR" w:eastAsia="ar-SA"/>
              </w:rPr>
            </w:pPr>
            <w:r w:rsidRPr="00814711">
              <w:rPr>
                <w:lang w:val="hr-HR" w:eastAsia="ar-SA"/>
              </w:rPr>
              <w:t>2.608</w:t>
            </w:r>
          </w:p>
        </w:tc>
        <w:tc>
          <w:tcPr>
            <w:tcW w:w="1394" w:type="dxa"/>
            <w:shd w:val="clear" w:color="auto" w:fill="FFFFFF" w:themeFill="background1"/>
            <w:vAlign w:val="center"/>
          </w:tcPr>
          <w:p w:rsidR="00BE488A" w:rsidRPr="00814711" w:rsidRDefault="00BE488A" w:rsidP="003E1580">
            <w:pPr>
              <w:suppressAutoHyphens/>
              <w:spacing w:before="20" w:after="20"/>
              <w:ind w:left="34"/>
              <w:jc w:val="right"/>
              <w:rPr>
                <w:lang w:val="hr-HR" w:eastAsia="ar-SA"/>
              </w:rPr>
            </w:pPr>
            <w:r w:rsidRPr="00814711">
              <w:rPr>
                <w:lang w:val="hr-HR" w:eastAsia="ar-SA"/>
              </w:rPr>
              <w:t>797</w:t>
            </w:r>
          </w:p>
        </w:tc>
        <w:tc>
          <w:tcPr>
            <w:tcW w:w="1394" w:type="dxa"/>
            <w:shd w:val="clear" w:color="auto" w:fill="FFFFFF" w:themeFill="background1"/>
            <w:vAlign w:val="center"/>
          </w:tcPr>
          <w:p w:rsidR="00BE488A" w:rsidRPr="00814711" w:rsidRDefault="00BE488A" w:rsidP="003E1580">
            <w:pPr>
              <w:suppressAutoHyphens/>
              <w:spacing w:before="20" w:after="20"/>
              <w:ind w:left="49"/>
              <w:jc w:val="right"/>
              <w:rPr>
                <w:lang w:val="hr-HR" w:eastAsia="ar-SA"/>
              </w:rPr>
            </w:pPr>
            <w:r w:rsidRPr="00814711">
              <w:rPr>
                <w:lang w:val="hr-HR" w:eastAsia="ar-SA"/>
              </w:rPr>
              <w:t>588</w:t>
            </w:r>
          </w:p>
        </w:tc>
        <w:tc>
          <w:tcPr>
            <w:tcW w:w="1394"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1.223</w:t>
            </w:r>
          </w:p>
        </w:tc>
        <w:tc>
          <w:tcPr>
            <w:tcW w:w="1394" w:type="dxa"/>
            <w:shd w:val="clear" w:color="auto" w:fill="FFFFFF" w:themeFill="background1"/>
            <w:vAlign w:val="center"/>
          </w:tcPr>
          <w:p w:rsidR="00BE488A" w:rsidRPr="00814711" w:rsidRDefault="00BE488A" w:rsidP="003E1580">
            <w:pPr>
              <w:tabs>
                <w:tab w:val="left" w:pos="230"/>
                <w:tab w:val="left" w:pos="312"/>
              </w:tabs>
              <w:suppressAutoHyphens/>
              <w:spacing w:before="20" w:after="20"/>
              <w:jc w:val="right"/>
              <w:rPr>
                <w:lang w:val="hr-HR" w:eastAsia="ar-SA"/>
              </w:rPr>
            </w:pPr>
            <w:r w:rsidRPr="00814711">
              <w:rPr>
                <w:lang w:val="hr-HR" w:eastAsia="ar-SA"/>
              </w:rPr>
              <w:t>57,7</w:t>
            </w:r>
          </w:p>
        </w:tc>
      </w:tr>
      <w:tr w:rsidR="00BE488A" w:rsidRPr="00814711" w:rsidTr="00B166AB">
        <w:tc>
          <w:tcPr>
            <w:tcW w:w="1346" w:type="dxa"/>
            <w:shd w:val="clear" w:color="auto" w:fill="FFFFFF" w:themeFill="background1"/>
          </w:tcPr>
          <w:p w:rsidR="00BE488A" w:rsidRPr="00814711" w:rsidRDefault="00BE488A" w:rsidP="003E1580">
            <w:pPr>
              <w:suppressAutoHyphens/>
              <w:spacing w:before="20" w:after="20"/>
              <w:rPr>
                <w:lang w:val="hr-HR" w:eastAsia="ar-SA"/>
              </w:rPr>
            </w:pPr>
            <w:r w:rsidRPr="00814711">
              <w:rPr>
                <w:lang w:val="hr-HR" w:eastAsia="ar-SA"/>
              </w:rPr>
              <w:t>Gradačac</w:t>
            </w:r>
          </w:p>
        </w:tc>
        <w:tc>
          <w:tcPr>
            <w:tcW w:w="1290"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39.148</w:t>
            </w:r>
          </w:p>
        </w:tc>
        <w:tc>
          <w:tcPr>
            <w:tcW w:w="1394" w:type="dxa"/>
            <w:shd w:val="clear" w:color="auto" w:fill="FFFFFF" w:themeFill="background1"/>
            <w:vAlign w:val="center"/>
          </w:tcPr>
          <w:p w:rsidR="00BE488A" w:rsidRPr="00814711" w:rsidRDefault="00BE488A" w:rsidP="003E1580">
            <w:pPr>
              <w:tabs>
                <w:tab w:val="left" w:pos="369"/>
                <w:tab w:val="left" w:pos="426"/>
              </w:tabs>
              <w:suppressAutoHyphens/>
              <w:spacing w:before="20" w:after="20"/>
              <w:jc w:val="right"/>
              <w:rPr>
                <w:lang w:val="hr-HR" w:eastAsia="ar-SA"/>
              </w:rPr>
            </w:pPr>
            <w:r w:rsidRPr="00814711">
              <w:rPr>
                <w:lang w:val="hr-HR" w:eastAsia="ar-SA"/>
              </w:rPr>
              <w:t>2.661</w:t>
            </w:r>
          </w:p>
        </w:tc>
        <w:tc>
          <w:tcPr>
            <w:tcW w:w="1394" w:type="dxa"/>
            <w:shd w:val="clear" w:color="auto" w:fill="FFFFFF" w:themeFill="background1"/>
            <w:vAlign w:val="center"/>
          </w:tcPr>
          <w:p w:rsidR="00BE488A" w:rsidRPr="00814711" w:rsidRDefault="00BE488A" w:rsidP="003E1580">
            <w:pPr>
              <w:suppressAutoHyphens/>
              <w:spacing w:before="20" w:after="20"/>
              <w:ind w:left="34"/>
              <w:jc w:val="right"/>
              <w:rPr>
                <w:lang w:val="hr-HR" w:eastAsia="ar-SA"/>
              </w:rPr>
            </w:pPr>
            <w:r w:rsidRPr="00814711">
              <w:rPr>
                <w:lang w:val="hr-HR" w:eastAsia="ar-SA"/>
              </w:rPr>
              <w:t>877</w:t>
            </w:r>
          </w:p>
        </w:tc>
        <w:tc>
          <w:tcPr>
            <w:tcW w:w="1394" w:type="dxa"/>
            <w:shd w:val="clear" w:color="auto" w:fill="FFFFFF" w:themeFill="background1"/>
            <w:vAlign w:val="center"/>
          </w:tcPr>
          <w:p w:rsidR="00BE488A" w:rsidRPr="00814711" w:rsidRDefault="00BE488A" w:rsidP="003E1580">
            <w:pPr>
              <w:suppressAutoHyphens/>
              <w:spacing w:before="20" w:after="20"/>
              <w:ind w:left="49"/>
              <w:jc w:val="right"/>
              <w:rPr>
                <w:lang w:val="hr-HR" w:eastAsia="ar-SA"/>
              </w:rPr>
            </w:pPr>
            <w:r w:rsidRPr="00814711">
              <w:rPr>
                <w:lang w:val="hr-HR" w:eastAsia="ar-SA"/>
              </w:rPr>
              <w:t>559</w:t>
            </w:r>
          </w:p>
        </w:tc>
        <w:tc>
          <w:tcPr>
            <w:tcW w:w="1394" w:type="dxa"/>
            <w:shd w:val="clear" w:color="auto" w:fill="FFFFFF" w:themeFill="background1"/>
            <w:vAlign w:val="center"/>
          </w:tcPr>
          <w:p w:rsidR="00BE488A" w:rsidRPr="00814711" w:rsidRDefault="00BE488A" w:rsidP="003E1580">
            <w:pPr>
              <w:tabs>
                <w:tab w:val="left" w:pos="1128"/>
              </w:tabs>
              <w:suppressAutoHyphens/>
              <w:spacing w:before="20" w:after="20"/>
              <w:jc w:val="right"/>
              <w:rPr>
                <w:lang w:val="hr-HR" w:eastAsia="ar-SA"/>
              </w:rPr>
            </w:pPr>
            <w:r w:rsidRPr="00814711">
              <w:rPr>
                <w:lang w:val="hr-HR" w:eastAsia="ar-SA"/>
              </w:rPr>
              <w:t>1.225</w:t>
            </w:r>
          </w:p>
        </w:tc>
        <w:tc>
          <w:tcPr>
            <w:tcW w:w="1394" w:type="dxa"/>
            <w:shd w:val="clear" w:color="auto" w:fill="FFFFFF" w:themeFill="background1"/>
            <w:vAlign w:val="center"/>
          </w:tcPr>
          <w:p w:rsidR="00BE488A" w:rsidRPr="00814711" w:rsidRDefault="00BE488A" w:rsidP="003E1580">
            <w:pPr>
              <w:tabs>
                <w:tab w:val="left" w:pos="219"/>
                <w:tab w:val="left" w:pos="299"/>
              </w:tabs>
              <w:suppressAutoHyphens/>
              <w:spacing w:before="20" w:after="20"/>
              <w:jc w:val="right"/>
              <w:rPr>
                <w:lang w:val="hr-HR" w:eastAsia="ar-SA"/>
              </w:rPr>
            </w:pPr>
            <w:r w:rsidRPr="00814711">
              <w:rPr>
                <w:lang w:val="hr-HR" w:eastAsia="ar-SA"/>
              </w:rPr>
              <w:t>68,0</w:t>
            </w:r>
          </w:p>
        </w:tc>
      </w:tr>
      <w:tr w:rsidR="00BE488A" w:rsidRPr="00814711" w:rsidTr="00B166AB">
        <w:tc>
          <w:tcPr>
            <w:tcW w:w="1346" w:type="dxa"/>
            <w:shd w:val="clear" w:color="auto" w:fill="FFFFFF" w:themeFill="background1"/>
          </w:tcPr>
          <w:p w:rsidR="00BE488A" w:rsidRPr="00814711" w:rsidRDefault="00BE488A" w:rsidP="003E1580">
            <w:pPr>
              <w:suppressAutoHyphens/>
              <w:spacing w:before="20" w:after="20"/>
              <w:rPr>
                <w:b/>
                <w:lang w:val="hr-HR" w:eastAsia="ar-SA"/>
              </w:rPr>
            </w:pPr>
            <w:r w:rsidRPr="00814711">
              <w:rPr>
                <w:b/>
                <w:lang w:val="hr-HR" w:eastAsia="ar-SA"/>
              </w:rPr>
              <w:t>Kalesija</w:t>
            </w:r>
          </w:p>
        </w:tc>
        <w:tc>
          <w:tcPr>
            <w:tcW w:w="1290" w:type="dxa"/>
            <w:shd w:val="clear" w:color="auto" w:fill="FFFFFF" w:themeFill="background1"/>
            <w:vAlign w:val="center"/>
          </w:tcPr>
          <w:p w:rsidR="00BE488A" w:rsidRPr="00814711" w:rsidRDefault="00BE488A" w:rsidP="003E1580">
            <w:pPr>
              <w:suppressAutoHyphens/>
              <w:spacing w:before="20" w:after="20"/>
              <w:jc w:val="right"/>
              <w:rPr>
                <w:b/>
                <w:lang w:val="hr-HR" w:eastAsia="ar-SA"/>
              </w:rPr>
            </w:pPr>
            <w:r w:rsidRPr="00814711">
              <w:rPr>
                <w:b/>
                <w:lang w:val="hr-HR" w:eastAsia="ar-SA"/>
              </w:rPr>
              <w:t>32.961</w:t>
            </w:r>
          </w:p>
        </w:tc>
        <w:tc>
          <w:tcPr>
            <w:tcW w:w="1394" w:type="dxa"/>
            <w:shd w:val="clear" w:color="auto" w:fill="FFFFFF" w:themeFill="background1"/>
            <w:vAlign w:val="center"/>
          </w:tcPr>
          <w:p w:rsidR="00BE488A" w:rsidRPr="00814711" w:rsidRDefault="00BE488A" w:rsidP="003E1580">
            <w:pPr>
              <w:tabs>
                <w:tab w:val="left" w:pos="242"/>
              </w:tabs>
              <w:suppressAutoHyphens/>
              <w:spacing w:before="20" w:after="20"/>
              <w:jc w:val="right"/>
              <w:rPr>
                <w:b/>
                <w:lang w:val="hr-HR" w:eastAsia="ar-SA"/>
              </w:rPr>
            </w:pPr>
            <w:r w:rsidRPr="00814711">
              <w:rPr>
                <w:b/>
                <w:lang w:val="hr-HR" w:eastAsia="ar-SA"/>
              </w:rPr>
              <w:t>1.386</w:t>
            </w:r>
          </w:p>
        </w:tc>
        <w:tc>
          <w:tcPr>
            <w:tcW w:w="1394" w:type="dxa"/>
            <w:shd w:val="clear" w:color="auto" w:fill="FFFFFF" w:themeFill="background1"/>
            <w:vAlign w:val="center"/>
          </w:tcPr>
          <w:p w:rsidR="00BE488A" w:rsidRPr="00814711" w:rsidRDefault="00BE488A" w:rsidP="003E1580">
            <w:pPr>
              <w:suppressAutoHyphens/>
              <w:spacing w:before="20" w:after="20"/>
              <w:ind w:left="34"/>
              <w:jc w:val="right"/>
              <w:rPr>
                <w:b/>
                <w:lang w:val="hr-HR" w:eastAsia="ar-SA"/>
              </w:rPr>
            </w:pPr>
            <w:r w:rsidRPr="00814711">
              <w:rPr>
                <w:b/>
                <w:lang w:val="hr-HR" w:eastAsia="ar-SA"/>
              </w:rPr>
              <w:t>414</w:t>
            </w:r>
          </w:p>
        </w:tc>
        <w:tc>
          <w:tcPr>
            <w:tcW w:w="1394" w:type="dxa"/>
            <w:shd w:val="clear" w:color="auto" w:fill="FFFFFF" w:themeFill="background1"/>
            <w:vAlign w:val="center"/>
          </w:tcPr>
          <w:p w:rsidR="00BE488A" w:rsidRPr="00814711" w:rsidRDefault="00BE488A" w:rsidP="003E1580">
            <w:pPr>
              <w:suppressAutoHyphens/>
              <w:spacing w:before="20" w:after="20"/>
              <w:ind w:left="49"/>
              <w:jc w:val="right"/>
              <w:rPr>
                <w:b/>
                <w:lang w:val="hr-HR" w:eastAsia="ar-SA"/>
              </w:rPr>
            </w:pPr>
            <w:r w:rsidRPr="00814711">
              <w:rPr>
                <w:b/>
                <w:lang w:val="hr-HR" w:eastAsia="ar-SA"/>
              </w:rPr>
              <w:t>337</w:t>
            </w:r>
          </w:p>
        </w:tc>
        <w:tc>
          <w:tcPr>
            <w:tcW w:w="1394" w:type="dxa"/>
            <w:shd w:val="clear" w:color="auto" w:fill="FFFFFF" w:themeFill="background1"/>
            <w:vAlign w:val="center"/>
          </w:tcPr>
          <w:p w:rsidR="00BE488A" w:rsidRPr="00814711" w:rsidRDefault="00BE488A" w:rsidP="003E1580">
            <w:pPr>
              <w:suppressAutoHyphens/>
              <w:spacing w:before="20" w:after="20"/>
              <w:jc w:val="right"/>
              <w:rPr>
                <w:b/>
                <w:lang w:val="hr-HR" w:eastAsia="ar-SA"/>
              </w:rPr>
            </w:pPr>
            <w:r w:rsidRPr="00814711">
              <w:rPr>
                <w:b/>
                <w:lang w:val="hr-HR" w:eastAsia="ar-SA"/>
              </w:rPr>
              <w:t>635</w:t>
            </w:r>
          </w:p>
        </w:tc>
        <w:tc>
          <w:tcPr>
            <w:tcW w:w="1394" w:type="dxa"/>
            <w:shd w:val="clear" w:color="auto" w:fill="FFFFFF" w:themeFill="background1"/>
            <w:vAlign w:val="center"/>
          </w:tcPr>
          <w:p w:rsidR="00BE488A" w:rsidRPr="00814711" w:rsidRDefault="00BE488A" w:rsidP="003E1580">
            <w:pPr>
              <w:tabs>
                <w:tab w:val="left" w:pos="184"/>
              </w:tabs>
              <w:suppressAutoHyphens/>
              <w:spacing w:before="20" w:after="20"/>
              <w:jc w:val="right"/>
              <w:rPr>
                <w:b/>
                <w:lang w:val="hr-HR" w:eastAsia="ar-SA"/>
              </w:rPr>
            </w:pPr>
            <w:r w:rsidRPr="00814711">
              <w:rPr>
                <w:b/>
                <w:lang w:val="hr-HR" w:eastAsia="ar-SA"/>
              </w:rPr>
              <w:t>42,0</w:t>
            </w:r>
          </w:p>
        </w:tc>
      </w:tr>
      <w:tr w:rsidR="00BE488A" w:rsidRPr="00814711" w:rsidTr="00B166AB">
        <w:tc>
          <w:tcPr>
            <w:tcW w:w="1346" w:type="dxa"/>
            <w:shd w:val="clear" w:color="auto" w:fill="FFFFFF" w:themeFill="background1"/>
          </w:tcPr>
          <w:p w:rsidR="00BE488A" w:rsidRPr="00814711" w:rsidRDefault="00BE488A" w:rsidP="003E1580">
            <w:pPr>
              <w:suppressAutoHyphens/>
              <w:spacing w:before="20" w:after="20"/>
              <w:rPr>
                <w:lang w:val="hr-HR" w:eastAsia="ar-SA"/>
              </w:rPr>
            </w:pPr>
            <w:r w:rsidRPr="00814711">
              <w:rPr>
                <w:lang w:val="hr-HR" w:eastAsia="ar-SA"/>
              </w:rPr>
              <w:t>Kladanj</w:t>
            </w:r>
          </w:p>
        </w:tc>
        <w:tc>
          <w:tcPr>
            <w:tcW w:w="1290"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12.070</w:t>
            </w:r>
          </w:p>
        </w:tc>
        <w:tc>
          <w:tcPr>
            <w:tcW w:w="1394" w:type="dxa"/>
            <w:shd w:val="clear" w:color="auto" w:fill="FFFFFF" w:themeFill="background1"/>
            <w:vAlign w:val="center"/>
          </w:tcPr>
          <w:p w:rsidR="00BE488A" w:rsidRPr="00814711" w:rsidRDefault="00BE488A" w:rsidP="003E1580">
            <w:pPr>
              <w:tabs>
                <w:tab w:val="left" w:pos="207"/>
              </w:tabs>
              <w:suppressAutoHyphens/>
              <w:spacing w:before="20" w:after="20"/>
              <w:jc w:val="right"/>
              <w:rPr>
                <w:lang w:val="hr-HR" w:eastAsia="ar-SA"/>
              </w:rPr>
            </w:pPr>
            <w:r w:rsidRPr="00814711">
              <w:rPr>
                <w:lang w:val="hr-HR" w:eastAsia="ar-SA"/>
              </w:rPr>
              <w:t>802</w:t>
            </w:r>
          </w:p>
        </w:tc>
        <w:tc>
          <w:tcPr>
            <w:tcW w:w="1394" w:type="dxa"/>
            <w:shd w:val="clear" w:color="auto" w:fill="FFFFFF" w:themeFill="background1"/>
            <w:vAlign w:val="center"/>
          </w:tcPr>
          <w:p w:rsidR="00BE488A" w:rsidRPr="00814711" w:rsidRDefault="00BE488A" w:rsidP="003E1580">
            <w:pPr>
              <w:suppressAutoHyphens/>
              <w:spacing w:before="20" w:after="20"/>
              <w:ind w:left="34"/>
              <w:jc w:val="right"/>
              <w:rPr>
                <w:lang w:val="hr-HR" w:eastAsia="ar-SA"/>
              </w:rPr>
            </w:pPr>
            <w:r w:rsidRPr="00814711">
              <w:rPr>
                <w:lang w:val="hr-HR" w:eastAsia="ar-SA"/>
              </w:rPr>
              <w:t>256</w:t>
            </w:r>
          </w:p>
        </w:tc>
        <w:tc>
          <w:tcPr>
            <w:tcW w:w="1394" w:type="dxa"/>
            <w:shd w:val="clear" w:color="auto" w:fill="FFFFFF" w:themeFill="background1"/>
            <w:vAlign w:val="center"/>
          </w:tcPr>
          <w:p w:rsidR="00BE488A" w:rsidRPr="00814711" w:rsidRDefault="00BE488A" w:rsidP="003E1580">
            <w:pPr>
              <w:suppressAutoHyphens/>
              <w:spacing w:before="20" w:after="20"/>
              <w:ind w:left="49"/>
              <w:jc w:val="right"/>
              <w:rPr>
                <w:lang w:val="hr-HR" w:eastAsia="ar-SA"/>
              </w:rPr>
            </w:pPr>
            <w:r w:rsidRPr="00814711">
              <w:rPr>
                <w:lang w:val="hr-HR" w:eastAsia="ar-SA"/>
              </w:rPr>
              <w:t>128</w:t>
            </w:r>
          </w:p>
        </w:tc>
        <w:tc>
          <w:tcPr>
            <w:tcW w:w="1394"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418</w:t>
            </w:r>
          </w:p>
        </w:tc>
        <w:tc>
          <w:tcPr>
            <w:tcW w:w="1394" w:type="dxa"/>
            <w:shd w:val="clear" w:color="auto" w:fill="FFFFFF" w:themeFill="background1"/>
            <w:vAlign w:val="center"/>
          </w:tcPr>
          <w:p w:rsidR="00BE488A" w:rsidRPr="00814711" w:rsidRDefault="00BE488A" w:rsidP="003E1580">
            <w:pPr>
              <w:tabs>
                <w:tab w:val="left" w:pos="253"/>
              </w:tabs>
              <w:suppressAutoHyphens/>
              <w:spacing w:before="20" w:after="20"/>
              <w:jc w:val="right"/>
              <w:rPr>
                <w:lang w:val="hr-HR" w:eastAsia="ar-SA"/>
              </w:rPr>
            </w:pPr>
            <w:r w:rsidRPr="00814711">
              <w:rPr>
                <w:lang w:val="hr-HR" w:eastAsia="ar-SA"/>
              </w:rPr>
              <w:t>66,4</w:t>
            </w:r>
          </w:p>
        </w:tc>
      </w:tr>
      <w:tr w:rsidR="00BE488A" w:rsidRPr="00814711" w:rsidTr="00B166AB">
        <w:tc>
          <w:tcPr>
            <w:tcW w:w="1346" w:type="dxa"/>
            <w:shd w:val="clear" w:color="auto" w:fill="FFFFFF" w:themeFill="background1"/>
          </w:tcPr>
          <w:p w:rsidR="00BE488A" w:rsidRPr="00814711" w:rsidRDefault="00BE488A" w:rsidP="003E1580">
            <w:pPr>
              <w:suppressAutoHyphens/>
              <w:spacing w:before="20" w:after="20"/>
              <w:rPr>
                <w:lang w:val="hr-HR" w:eastAsia="ar-SA"/>
              </w:rPr>
            </w:pPr>
            <w:r w:rsidRPr="00814711">
              <w:rPr>
                <w:lang w:val="hr-HR" w:eastAsia="ar-SA"/>
              </w:rPr>
              <w:t>Lukavac</w:t>
            </w:r>
          </w:p>
        </w:tc>
        <w:tc>
          <w:tcPr>
            <w:tcW w:w="1290"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43.952</w:t>
            </w:r>
          </w:p>
        </w:tc>
        <w:tc>
          <w:tcPr>
            <w:tcW w:w="1394" w:type="dxa"/>
            <w:shd w:val="clear" w:color="auto" w:fill="FFFFFF" w:themeFill="background1"/>
            <w:vAlign w:val="center"/>
          </w:tcPr>
          <w:p w:rsidR="00BE488A" w:rsidRPr="00814711" w:rsidRDefault="00BE488A" w:rsidP="003E1580">
            <w:pPr>
              <w:tabs>
                <w:tab w:val="left" w:pos="207"/>
              </w:tabs>
              <w:suppressAutoHyphens/>
              <w:spacing w:before="20" w:after="20"/>
              <w:jc w:val="right"/>
              <w:rPr>
                <w:lang w:val="hr-HR" w:eastAsia="ar-SA"/>
              </w:rPr>
            </w:pPr>
            <w:r w:rsidRPr="00814711">
              <w:rPr>
                <w:lang w:val="hr-HR" w:eastAsia="ar-SA"/>
              </w:rPr>
              <w:t>2.405</w:t>
            </w:r>
          </w:p>
        </w:tc>
        <w:tc>
          <w:tcPr>
            <w:tcW w:w="1394" w:type="dxa"/>
            <w:shd w:val="clear" w:color="auto" w:fill="FFFFFF" w:themeFill="background1"/>
            <w:vAlign w:val="center"/>
          </w:tcPr>
          <w:p w:rsidR="00BE488A" w:rsidRPr="00814711" w:rsidRDefault="00BE488A" w:rsidP="003E1580">
            <w:pPr>
              <w:suppressAutoHyphens/>
              <w:spacing w:before="20" w:after="20"/>
              <w:ind w:left="34"/>
              <w:jc w:val="right"/>
              <w:rPr>
                <w:lang w:val="hr-HR" w:eastAsia="ar-SA"/>
              </w:rPr>
            </w:pPr>
            <w:r w:rsidRPr="00814711">
              <w:rPr>
                <w:lang w:val="hr-HR" w:eastAsia="ar-SA"/>
              </w:rPr>
              <w:t>653</w:t>
            </w:r>
          </w:p>
        </w:tc>
        <w:tc>
          <w:tcPr>
            <w:tcW w:w="1394" w:type="dxa"/>
            <w:shd w:val="clear" w:color="auto" w:fill="FFFFFF" w:themeFill="background1"/>
            <w:vAlign w:val="center"/>
          </w:tcPr>
          <w:p w:rsidR="00BE488A" w:rsidRPr="00814711" w:rsidRDefault="00BE488A" w:rsidP="003E1580">
            <w:pPr>
              <w:suppressAutoHyphens/>
              <w:spacing w:before="20" w:after="20"/>
              <w:ind w:left="49"/>
              <w:jc w:val="right"/>
              <w:rPr>
                <w:lang w:val="hr-HR" w:eastAsia="ar-SA"/>
              </w:rPr>
            </w:pPr>
            <w:r w:rsidRPr="00814711">
              <w:rPr>
                <w:lang w:val="hr-HR" w:eastAsia="ar-SA"/>
              </w:rPr>
              <w:t>454</w:t>
            </w:r>
          </w:p>
        </w:tc>
        <w:tc>
          <w:tcPr>
            <w:tcW w:w="1394"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1.298</w:t>
            </w:r>
          </w:p>
        </w:tc>
        <w:tc>
          <w:tcPr>
            <w:tcW w:w="1394" w:type="dxa"/>
            <w:shd w:val="clear" w:color="auto" w:fill="FFFFFF" w:themeFill="background1"/>
            <w:vAlign w:val="center"/>
          </w:tcPr>
          <w:p w:rsidR="00BE488A" w:rsidRPr="00814711" w:rsidRDefault="00BE488A" w:rsidP="003E1580">
            <w:pPr>
              <w:tabs>
                <w:tab w:val="left" w:pos="426"/>
              </w:tabs>
              <w:suppressAutoHyphens/>
              <w:spacing w:before="20" w:after="20"/>
              <w:jc w:val="right"/>
              <w:rPr>
                <w:lang w:val="hr-HR" w:eastAsia="ar-SA"/>
              </w:rPr>
            </w:pPr>
            <w:r w:rsidRPr="00814711">
              <w:rPr>
                <w:lang w:val="hr-HR" w:eastAsia="ar-SA"/>
              </w:rPr>
              <w:t>54,7</w:t>
            </w:r>
          </w:p>
        </w:tc>
      </w:tr>
      <w:tr w:rsidR="00BE488A" w:rsidRPr="00814711" w:rsidTr="00B166AB">
        <w:tc>
          <w:tcPr>
            <w:tcW w:w="1346" w:type="dxa"/>
            <w:shd w:val="clear" w:color="auto" w:fill="FFFFFF" w:themeFill="background1"/>
          </w:tcPr>
          <w:p w:rsidR="00BE488A" w:rsidRPr="00814711" w:rsidRDefault="00BE488A" w:rsidP="003E1580">
            <w:pPr>
              <w:suppressAutoHyphens/>
              <w:spacing w:before="20" w:after="20"/>
              <w:rPr>
                <w:lang w:val="hr-HR" w:eastAsia="ar-SA"/>
              </w:rPr>
            </w:pPr>
            <w:r w:rsidRPr="00814711">
              <w:rPr>
                <w:lang w:val="hr-HR" w:eastAsia="ar-SA"/>
              </w:rPr>
              <w:t>Sapna</w:t>
            </w:r>
          </w:p>
        </w:tc>
        <w:tc>
          <w:tcPr>
            <w:tcW w:w="1290"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10.938</w:t>
            </w:r>
          </w:p>
        </w:tc>
        <w:tc>
          <w:tcPr>
            <w:tcW w:w="1394" w:type="dxa"/>
            <w:shd w:val="clear" w:color="auto" w:fill="FFFFFF" w:themeFill="background1"/>
            <w:vAlign w:val="center"/>
          </w:tcPr>
          <w:p w:rsidR="00BE488A" w:rsidRPr="00814711" w:rsidRDefault="00BE488A" w:rsidP="003E1580">
            <w:pPr>
              <w:tabs>
                <w:tab w:val="left" w:pos="311"/>
              </w:tabs>
              <w:suppressAutoHyphens/>
              <w:spacing w:before="20" w:after="20"/>
              <w:jc w:val="right"/>
              <w:rPr>
                <w:lang w:val="hr-HR" w:eastAsia="ar-SA"/>
              </w:rPr>
            </w:pPr>
            <w:r w:rsidRPr="00814711">
              <w:rPr>
                <w:lang w:val="hr-HR" w:eastAsia="ar-SA"/>
              </w:rPr>
              <w:t>348</w:t>
            </w:r>
          </w:p>
        </w:tc>
        <w:tc>
          <w:tcPr>
            <w:tcW w:w="1394" w:type="dxa"/>
            <w:shd w:val="clear" w:color="auto" w:fill="FFFFFF" w:themeFill="background1"/>
            <w:vAlign w:val="center"/>
          </w:tcPr>
          <w:p w:rsidR="00BE488A" w:rsidRPr="00814711" w:rsidRDefault="00BE488A" w:rsidP="003E1580">
            <w:pPr>
              <w:suppressAutoHyphens/>
              <w:spacing w:before="20" w:after="20"/>
              <w:ind w:left="34"/>
              <w:jc w:val="right"/>
              <w:rPr>
                <w:lang w:val="hr-HR" w:eastAsia="ar-SA"/>
              </w:rPr>
            </w:pPr>
            <w:r w:rsidRPr="00814711">
              <w:rPr>
                <w:lang w:val="hr-HR" w:eastAsia="ar-SA"/>
              </w:rPr>
              <w:t>108</w:t>
            </w:r>
          </w:p>
        </w:tc>
        <w:tc>
          <w:tcPr>
            <w:tcW w:w="1394" w:type="dxa"/>
            <w:shd w:val="clear" w:color="auto" w:fill="FFFFFF" w:themeFill="background1"/>
            <w:vAlign w:val="center"/>
          </w:tcPr>
          <w:p w:rsidR="00BE488A" w:rsidRPr="00814711" w:rsidRDefault="00BE488A" w:rsidP="003E1580">
            <w:pPr>
              <w:suppressAutoHyphens/>
              <w:spacing w:before="20" w:after="20"/>
              <w:ind w:left="49"/>
              <w:jc w:val="right"/>
              <w:rPr>
                <w:lang w:val="hr-HR" w:eastAsia="ar-SA"/>
              </w:rPr>
            </w:pPr>
            <w:r w:rsidRPr="00814711">
              <w:rPr>
                <w:lang w:val="hr-HR" w:eastAsia="ar-SA"/>
              </w:rPr>
              <w:t>91</w:t>
            </w:r>
          </w:p>
        </w:tc>
        <w:tc>
          <w:tcPr>
            <w:tcW w:w="1394"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149</w:t>
            </w:r>
          </w:p>
        </w:tc>
        <w:tc>
          <w:tcPr>
            <w:tcW w:w="1394"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31,8</w:t>
            </w:r>
          </w:p>
        </w:tc>
      </w:tr>
      <w:tr w:rsidR="00BE488A" w:rsidRPr="00814711" w:rsidTr="00B166AB">
        <w:tc>
          <w:tcPr>
            <w:tcW w:w="1346" w:type="dxa"/>
            <w:shd w:val="clear" w:color="auto" w:fill="FFFFFF" w:themeFill="background1"/>
          </w:tcPr>
          <w:p w:rsidR="00BE488A" w:rsidRPr="00814711" w:rsidRDefault="00BE488A" w:rsidP="003E1580">
            <w:pPr>
              <w:suppressAutoHyphens/>
              <w:spacing w:before="20" w:after="20"/>
              <w:rPr>
                <w:lang w:val="hr-HR" w:eastAsia="ar-SA"/>
              </w:rPr>
            </w:pPr>
            <w:r w:rsidRPr="00814711">
              <w:rPr>
                <w:lang w:val="hr-HR" w:eastAsia="ar-SA"/>
              </w:rPr>
              <w:t>Srebrenik</w:t>
            </w:r>
          </w:p>
        </w:tc>
        <w:tc>
          <w:tcPr>
            <w:tcW w:w="1290"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39.644</w:t>
            </w:r>
          </w:p>
        </w:tc>
        <w:tc>
          <w:tcPr>
            <w:tcW w:w="1394"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2.019</w:t>
            </w:r>
          </w:p>
        </w:tc>
        <w:tc>
          <w:tcPr>
            <w:tcW w:w="1394" w:type="dxa"/>
            <w:shd w:val="clear" w:color="auto" w:fill="FFFFFF" w:themeFill="background1"/>
            <w:vAlign w:val="center"/>
          </w:tcPr>
          <w:p w:rsidR="00BE488A" w:rsidRPr="00814711" w:rsidRDefault="00BE488A" w:rsidP="003E1580">
            <w:pPr>
              <w:suppressAutoHyphens/>
              <w:spacing w:before="20" w:after="20"/>
              <w:ind w:left="34"/>
              <w:jc w:val="right"/>
              <w:rPr>
                <w:lang w:val="hr-HR" w:eastAsia="ar-SA"/>
              </w:rPr>
            </w:pPr>
            <w:r w:rsidRPr="00814711">
              <w:rPr>
                <w:lang w:val="hr-HR" w:eastAsia="ar-SA"/>
              </w:rPr>
              <w:t>748</w:t>
            </w:r>
          </w:p>
        </w:tc>
        <w:tc>
          <w:tcPr>
            <w:tcW w:w="1394" w:type="dxa"/>
            <w:shd w:val="clear" w:color="auto" w:fill="FFFFFF" w:themeFill="background1"/>
            <w:vAlign w:val="center"/>
          </w:tcPr>
          <w:p w:rsidR="00BE488A" w:rsidRPr="00814711" w:rsidRDefault="00BE488A" w:rsidP="003E1580">
            <w:pPr>
              <w:suppressAutoHyphens/>
              <w:spacing w:before="20" w:after="20"/>
              <w:ind w:left="49"/>
              <w:jc w:val="right"/>
              <w:rPr>
                <w:lang w:val="hr-HR" w:eastAsia="ar-SA"/>
              </w:rPr>
            </w:pPr>
            <w:r w:rsidRPr="00814711">
              <w:rPr>
                <w:lang w:val="hr-HR" w:eastAsia="ar-SA"/>
              </w:rPr>
              <w:t>544</w:t>
            </w:r>
          </w:p>
        </w:tc>
        <w:tc>
          <w:tcPr>
            <w:tcW w:w="1394" w:type="dxa"/>
            <w:shd w:val="clear" w:color="auto" w:fill="FFFFFF" w:themeFill="background1"/>
            <w:vAlign w:val="center"/>
          </w:tcPr>
          <w:p w:rsidR="00BE488A" w:rsidRPr="00814711" w:rsidRDefault="00BE488A" w:rsidP="003E1580">
            <w:pPr>
              <w:tabs>
                <w:tab w:val="left" w:pos="204"/>
              </w:tabs>
              <w:suppressAutoHyphens/>
              <w:spacing w:before="20" w:after="20"/>
              <w:jc w:val="right"/>
              <w:rPr>
                <w:lang w:val="hr-HR" w:eastAsia="ar-SA"/>
              </w:rPr>
            </w:pPr>
            <w:r w:rsidRPr="00814711">
              <w:rPr>
                <w:lang w:val="hr-HR" w:eastAsia="ar-SA"/>
              </w:rPr>
              <w:t>727</w:t>
            </w:r>
          </w:p>
        </w:tc>
        <w:tc>
          <w:tcPr>
            <w:tcW w:w="1394"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50,9</w:t>
            </w:r>
          </w:p>
        </w:tc>
      </w:tr>
      <w:tr w:rsidR="00BE488A" w:rsidRPr="00814711" w:rsidTr="00B166AB">
        <w:tc>
          <w:tcPr>
            <w:tcW w:w="1346" w:type="dxa"/>
            <w:shd w:val="clear" w:color="auto" w:fill="FFFFFF" w:themeFill="background1"/>
          </w:tcPr>
          <w:p w:rsidR="00BE488A" w:rsidRPr="00814711" w:rsidRDefault="00BE488A" w:rsidP="003E1580">
            <w:pPr>
              <w:suppressAutoHyphens/>
              <w:spacing w:before="20" w:after="20"/>
              <w:rPr>
                <w:lang w:val="hr-HR" w:eastAsia="ar-SA"/>
              </w:rPr>
            </w:pPr>
            <w:r w:rsidRPr="00814711">
              <w:rPr>
                <w:lang w:val="hr-HR" w:eastAsia="ar-SA"/>
              </w:rPr>
              <w:t>Teočak</w:t>
            </w:r>
          </w:p>
        </w:tc>
        <w:tc>
          <w:tcPr>
            <w:tcW w:w="1290"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7.345</w:t>
            </w:r>
          </w:p>
        </w:tc>
        <w:tc>
          <w:tcPr>
            <w:tcW w:w="1394" w:type="dxa"/>
            <w:shd w:val="clear" w:color="auto" w:fill="FFFFFF" w:themeFill="background1"/>
            <w:vAlign w:val="center"/>
          </w:tcPr>
          <w:p w:rsidR="00BE488A" w:rsidRPr="00814711" w:rsidRDefault="00BE488A" w:rsidP="003E1580">
            <w:pPr>
              <w:tabs>
                <w:tab w:val="left" w:pos="276"/>
              </w:tabs>
              <w:suppressAutoHyphens/>
              <w:spacing w:before="20" w:after="20"/>
              <w:jc w:val="right"/>
              <w:rPr>
                <w:lang w:val="hr-HR" w:eastAsia="ar-SA"/>
              </w:rPr>
            </w:pPr>
            <w:r w:rsidRPr="00814711">
              <w:rPr>
                <w:lang w:val="hr-HR" w:eastAsia="ar-SA"/>
              </w:rPr>
              <w:t>284</w:t>
            </w:r>
          </w:p>
        </w:tc>
        <w:tc>
          <w:tcPr>
            <w:tcW w:w="1394" w:type="dxa"/>
            <w:shd w:val="clear" w:color="auto" w:fill="FFFFFF" w:themeFill="background1"/>
            <w:vAlign w:val="center"/>
          </w:tcPr>
          <w:p w:rsidR="00BE488A" w:rsidRPr="00814711" w:rsidRDefault="00BE488A" w:rsidP="003E1580">
            <w:pPr>
              <w:suppressAutoHyphens/>
              <w:spacing w:before="20" w:after="20"/>
              <w:ind w:left="34"/>
              <w:jc w:val="right"/>
              <w:rPr>
                <w:lang w:val="hr-HR" w:eastAsia="ar-SA"/>
              </w:rPr>
            </w:pPr>
            <w:r w:rsidRPr="00814711">
              <w:rPr>
                <w:lang w:val="hr-HR" w:eastAsia="ar-SA"/>
              </w:rPr>
              <w:t>78</w:t>
            </w:r>
          </w:p>
        </w:tc>
        <w:tc>
          <w:tcPr>
            <w:tcW w:w="1394" w:type="dxa"/>
            <w:shd w:val="clear" w:color="auto" w:fill="FFFFFF" w:themeFill="background1"/>
            <w:vAlign w:val="center"/>
          </w:tcPr>
          <w:p w:rsidR="00BE488A" w:rsidRPr="00814711" w:rsidRDefault="00BE488A" w:rsidP="003E1580">
            <w:pPr>
              <w:suppressAutoHyphens/>
              <w:spacing w:before="20" w:after="20"/>
              <w:ind w:left="49"/>
              <w:jc w:val="right"/>
              <w:rPr>
                <w:lang w:val="hr-HR" w:eastAsia="ar-SA"/>
              </w:rPr>
            </w:pPr>
            <w:r w:rsidRPr="00814711">
              <w:rPr>
                <w:lang w:val="hr-HR" w:eastAsia="ar-SA"/>
              </w:rPr>
              <w:t>50</w:t>
            </w:r>
          </w:p>
        </w:tc>
        <w:tc>
          <w:tcPr>
            <w:tcW w:w="1394"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156</w:t>
            </w:r>
          </w:p>
        </w:tc>
        <w:tc>
          <w:tcPr>
            <w:tcW w:w="1394" w:type="dxa"/>
            <w:shd w:val="clear" w:color="auto" w:fill="FFFFFF" w:themeFill="background1"/>
            <w:vAlign w:val="center"/>
          </w:tcPr>
          <w:p w:rsidR="00BE488A" w:rsidRPr="00814711" w:rsidRDefault="00BE488A" w:rsidP="003E1580">
            <w:pPr>
              <w:tabs>
                <w:tab w:val="left" w:pos="576"/>
              </w:tabs>
              <w:suppressAutoHyphens/>
              <w:spacing w:before="20" w:after="20"/>
              <w:jc w:val="right"/>
              <w:rPr>
                <w:lang w:val="hr-HR" w:eastAsia="ar-SA"/>
              </w:rPr>
            </w:pPr>
            <w:r w:rsidRPr="00814711">
              <w:rPr>
                <w:lang w:val="hr-HR" w:eastAsia="ar-SA"/>
              </w:rPr>
              <w:t>38,7</w:t>
            </w:r>
          </w:p>
        </w:tc>
      </w:tr>
      <w:tr w:rsidR="00BE488A" w:rsidRPr="00814711" w:rsidTr="00B166AB">
        <w:tc>
          <w:tcPr>
            <w:tcW w:w="1346" w:type="dxa"/>
            <w:shd w:val="clear" w:color="auto" w:fill="FFFFFF" w:themeFill="background1"/>
          </w:tcPr>
          <w:p w:rsidR="00BE488A" w:rsidRPr="00814711" w:rsidRDefault="00BE488A" w:rsidP="003E1580">
            <w:pPr>
              <w:suppressAutoHyphens/>
              <w:spacing w:before="20" w:after="20"/>
              <w:rPr>
                <w:lang w:val="hr-HR" w:eastAsia="ar-SA"/>
              </w:rPr>
            </w:pPr>
            <w:r w:rsidRPr="00814711">
              <w:rPr>
                <w:lang w:val="hr-HR" w:eastAsia="ar-SA"/>
              </w:rPr>
              <w:t>Tuzla</w:t>
            </w:r>
          </w:p>
        </w:tc>
        <w:tc>
          <w:tcPr>
            <w:tcW w:w="1290"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110.642</w:t>
            </w:r>
          </w:p>
        </w:tc>
        <w:tc>
          <w:tcPr>
            <w:tcW w:w="1394" w:type="dxa"/>
            <w:shd w:val="clear" w:color="auto" w:fill="FFFFFF" w:themeFill="background1"/>
            <w:vAlign w:val="center"/>
          </w:tcPr>
          <w:p w:rsidR="00BE488A" w:rsidRPr="00814711" w:rsidRDefault="00BE488A" w:rsidP="003E1580">
            <w:pPr>
              <w:tabs>
                <w:tab w:val="left" w:pos="276"/>
              </w:tabs>
              <w:suppressAutoHyphens/>
              <w:spacing w:before="20" w:after="20"/>
              <w:jc w:val="right"/>
              <w:rPr>
                <w:lang w:val="hr-HR" w:eastAsia="ar-SA"/>
              </w:rPr>
            </w:pPr>
            <w:r w:rsidRPr="00814711">
              <w:rPr>
                <w:lang w:val="hr-HR" w:eastAsia="ar-SA"/>
              </w:rPr>
              <w:t>9.202</w:t>
            </w:r>
          </w:p>
        </w:tc>
        <w:tc>
          <w:tcPr>
            <w:tcW w:w="1394" w:type="dxa"/>
            <w:shd w:val="clear" w:color="auto" w:fill="FFFFFF" w:themeFill="background1"/>
            <w:vAlign w:val="center"/>
          </w:tcPr>
          <w:p w:rsidR="00BE488A" w:rsidRPr="00814711" w:rsidRDefault="00BE488A" w:rsidP="003E1580">
            <w:pPr>
              <w:suppressAutoHyphens/>
              <w:spacing w:before="20" w:after="20"/>
              <w:ind w:left="34"/>
              <w:jc w:val="right"/>
              <w:rPr>
                <w:lang w:val="hr-HR" w:eastAsia="ar-SA"/>
              </w:rPr>
            </w:pPr>
            <w:r w:rsidRPr="00814711">
              <w:rPr>
                <w:lang w:val="hr-HR" w:eastAsia="ar-SA"/>
              </w:rPr>
              <w:t>3.654</w:t>
            </w:r>
          </w:p>
        </w:tc>
        <w:tc>
          <w:tcPr>
            <w:tcW w:w="1394" w:type="dxa"/>
            <w:shd w:val="clear" w:color="auto" w:fill="FFFFFF" w:themeFill="background1"/>
            <w:vAlign w:val="center"/>
          </w:tcPr>
          <w:p w:rsidR="00BE488A" w:rsidRPr="00814711" w:rsidRDefault="00BE488A" w:rsidP="003E1580">
            <w:pPr>
              <w:suppressAutoHyphens/>
              <w:spacing w:before="20" w:after="20"/>
              <w:ind w:left="49"/>
              <w:jc w:val="right"/>
              <w:rPr>
                <w:lang w:val="hr-HR" w:eastAsia="ar-SA"/>
              </w:rPr>
            </w:pPr>
            <w:r w:rsidRPr="00814711">
              <w:rPr>
                <w:lang w:val="hr-HR" w:eastAsia="ar-SA"/>
              </w:rPr>
              <w:t>2.030</w:t>
            </w:r>
          </w:p>
        </w:tc>
        <w:tc>
          <w:tcPr>
            <w:tcW w:w="1394"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3.518</w:t>
            </w:r>
          </w:p>
        </w:tc>
        <w:tc>
          <w:tcPr>
            <w:tcW w:w="1394"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83,2</w:t>
            </w:r>
          </w:p>
        </w:tc>
      </w:tr>
      <w:tr w:rsidR="00BE488A" w:rsidRPr="00814711" w:rsidTr="00B166AB">
        <w:tc>
          <w:tcPr>
            <w:tcW w:w="1346" w:type="dxa"/>
            <w:shd w:val="clear" w:color="auto" w:fill="FFFFFF" w:themeFill="background1"/>
          </w:tcPr>
          <w:p w:rsidR="00BE488A" w:rsidRPr="00814711" w:rsidRDefault="00BE488A" w:rsidP="003E1580">
            <w:pPr>
              <w:suppressAutoHyphens/>
              <w:spacing w:before="20" w:after="20"/>
              <w:rPr>
                <w:lang w:val="hr-HR" w:eastAsia="ar-SA"/>
              </w:rPr>
            </w:pPr>
            <w:r w:rsidRPr="00814711">
              <w:rPr>
                <w:lang w:val="hr-HR" w:eastAsia="ar-SA"/>
              </w:rPr>
              <w:t>Živinice</w:t>
            </w:r>
          </w:p>
        </w:tc>
        <w:tc>
          <w:tcPr>
            <w:tcW w:w="1290"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57.916</w:t>
            </w:r>
          </w:p>
        </w:tc>
        <w:tc>
          <w:tcPr>
            <w:tcW w:w="1394" w:type="dxa"/>
            <w:shd w:val="clear" w:color="auto" w:fill="FFFFFF" w:themeFill="background1"/>
            <w:vAlign w:val="center"/>
          </w:tcPr>
          <w:p w:rsidR="00BE488A" w:rsidRPr="00814711" w:rsidRDefault="00BE488A" w:rsidP="003E1580">
            <w:pPr>
              <w:tabs>
                <w:tab w:val="left" w:pos="334"/>
              </w:tabs>
              <w:suppressAutoHyphens/>
              <w:spacing w:before="20" w:after="20"/>
              <w:jc w:val="right"/>
              <w:rPr>
                <w:lang w:val="hr-HR" w:eastAsia="ar-SA"/>
              </w:rPr>
            </w:pPr>
            <w:r w:rsidRPr="00814711">
              <w:rPr>
                <w:lang w:val="hr-HR" w:eastAsia="ar-SA"/>
              </w:rPr>
              <w:t>2.501</w:t>
            </w:r>
          </w:p>
        </w:tc>
        <w:tc>
          <w:tcPr>
            <w:tcW w:w="1394" w:type="dxa"/>
            <w:shd w:val="clear" w:color="auto" w:fill="FFFFFF" w:themeFill="background1"/>
            <w:vAlign w:val="center"/>
          </w:tcPr>
          <w:p w:rsidR="00BE488A" w:rsidRPr="00814711" w:rsidRDefault="00BE488A" w:rsidP="003E1580">
            <w:pPr>
              <w:suppressAutoHyphens/>
              <w:spacing w:before="20" w:after="20"/>
              <w:ind w:left="34"/>
              <w:jc w:val="right"/>
              <w:rPr>
                <w:lang w:val="hr-HR" w:eastAsia="ar-SA"/>
              </w:rPr>
            </w:pPr>
            <w:r w:rsidRPr="00814711">
              <w:rPr>
                <w:lang w:val="hr-HR" w:eastAsia="ar-SA"/>
              </w:rPr>
              <w:t>835</w:t>
            </w:r>
          </w:p>
        </w:tc>
        <w:tc>
          <w:tcPr>
            <w:tcW w:w="1394" w:type="dxa"/>
            <w:shd w:val="clear" w:color="auto" w:fill="FFFFFF" w:themeFill="background1"/>
            <w:vAlign w:val="center"/>
          </w:tcPr>
          <w:p w:rsidR="00BE488A" w:rsidRPr="00814711" w:rsidRDefault="00BE488A" w:rsidP="003E1580">
            <w:pPr>
              <w:suppressAutoHyphens/>
              <w:spacing w:before="20" w:after="20"/>
              <w:ind w:left="49"/>
              <w:jc w:val="right"/>
              <w:rPr>
                <w:lang w:val="hr-HR" w:eastAsia="ar-SA"/>
              </w:rPr>
            </w:pPr>
            <w:r w:rsidRPr="00814711">
              <w:rPr>
                <w:lang w:val="hr-HR" w:eastAsia="ar-SA"/>
              </w:rPr>
              <w:t>526</w:t>
            </w:r>
          </w:p>
        </w:tc>
        <w:tc>
          <w:tcPr>
            <w:tcW w:w="1394" w:type="dxa"/>
            <w:shd w:val="clear" w:color="auto" w:fill="FFFFFF" w:themeFill="background1"/>
            <w:vAlign w:val="center"/>
          </w:tcPr>
          <w:p w:rsidR="00BE488A" w:rsidRPr="00814711" w:rsidRDefault="00BE488A" w:rsidP="003E1580">
            <w:pPr>
              <w:tabs>
                <w:tab w:val="left" w:pos="380"/>
              </w:tabs>
              <w:suppressAutoHyphens/>
              <w:spacing w:before="20" w:after="20"/>
              <w:jc w:val="right"/>
              <w:rPr>
                <w:lang w:val="hr-HR" w:eastAsia="ar-SA"/>
              </w:rPr>
            </w:pPr>
            <w:r w:rsidRPr="00814711">
              <w:rPr>
                <w:lang w:val="hr-HR" w:eastAsia="ar-SA"/>
              </w:rPr>
              <w:t>1.140</w:t>
            </w:r>
          </w:p>
        </w:tc>
        <w:tc>
          <w:tcPr>
            <w:tcW w:w="1394" w:type="dxa"/>
            <w:shd w:val="clear" w:color="auto" w:fill="FFFFFF" w:themeFill="background1"/>
            <w:vAlign w:val="center"/>
          </w:tcPr>
          <w:p w:rsidR="00BE488A" w:rsidRPr="00814711" w:rsidRDefault="00BE488A" w:rsidP="003E1580">
            <w:pPr>
              <w:suppressAutoHyphens/>
              <w:spacing w:before="20" w:after="20"/>
              <w:jc w:val="right"/>
              <w:rPr>
                <w:lang w:val="hr-HR" w:eastAsia="ar-SA"/>
              </w:rPr>
            </w:pPr>
            <w:r w:rsidRPr="00814711">
              <w:rPr>
                <w:lang w:val="hr-HR" w:eastAsia="ar-SA"/>
              </w:rPr>
              <w:t>43,2</w:t>
            </w:r>
          </w:p>
        </w:tc>
      </w:tr>
      <w:tr w:rsidR="00BE488A" w:rsidRPr="00814711" w:rsidTr="00B166AB">
        <w:tc>
          <w:tcPr>
            <w:tcW w:w="1346" w:type="dxa"/>
            <w:shd w:val="clear" w:color="auto" w:fill="D9D9D9" w:themeFill="background1" w:themeFillShade="D9"/>
          </w:tcPr>
          <w:p w:rsidR="00BE488A" w:rsidRPr="00814711" w:rsidRDefault="00BE488A" w:rsidP="003E1580">
            <w:pPr>
              <w:suppressAutoHyphens/>
              <w:spacing w:before="20" w:after="20"/>
              <w:rPr>
                <w:b/>
                <w:lang w:val="hr-HR" w:eastAsia="ar-SA"/>
              </w:rPr>
            </w:pPr>
            <w:r w:rsidRPr="00814711">
              <w:rPr>
                <w:b/>
                <w:lang w:val="hr-HR" w:eastAsia="ar-SA"/>
              </w:rPr>
              <w:t xml:space="preserve">TK </w:t>
            </w:r>
          </w:p>
        </w:tc>
        <w:tc>
          <w:tcPr>
            <w:tcW w:w="1290" w:type="dxa"/>
            <w:shd w:val="clear" w:color="auto" w:fill="D9D9D9" w:themeFill="background1" w:themeFillShade="D9"/>
            <w:vAlign w:val="center"/>
          </w:tcPr>
          <w:p w:rsidR="00BE488A" w:rsidRPr="00814711" w:rsidRDefault="00BE488A" w:rsidP="003E1580">
            <w:pPr>
              <w:suppressAutoHyphens/>
              <w:spacing w:before="20" w:after="20"/>
              <w:jc w:val="right"/>
              <w:rPr>
                <w:b/>
                <w:lang w:val="hr-HR" w:eastAsia="ar-SA"/>
              </w:rPr>
            </w:pPr>
            <w:r w:rsidRPr="00814711">
              <w:rPr>
                <w:b/>
                <w:lang w:val="hr-HR" w:eastAsia="ar-SA"/>
              </w:rPr>
              <w:t>443.053</w:t>
            </w:r>
          </w:p>
        </w:tc>
        <w:tc>
          <w:tcPr>
            <w:tcW w:w="1394" w:type="dxa"/>
            <w:shd w:val="clear" w:color="auto" w:fill="D9D9D9" w:themeFill="background1" w:themeFillShade="D9"/>
            <w:vAlign w:val="center"/>
          </w:tcPr>
          <w:p w:rsidR="00BE488A" w:rsidRPr="00814711" w:rsidRDefault="00BE488A" w:rsidP="003E1580">
            <w:pPr>
              <w:suppressAutoHyphens/>
              <w:spacing w:before="20" w:after="20"/>
              <w:jc w:val="right"/>
              <w:rPr>
                <w:b/>
                <w:lang w:val="hr-HR" w:eastAsia="ar-SA"/>
              </w:rPr>
            </w:pPr>
            <w:r w:rsidRPr="00814711">
              <w:rPr>
                <w:b/>
                <w:lang w:val="hr-HR" w:eastAsia="ar-SA"/>
              </w:rPr>
              <w:t>26.255</w:t>
            </w:r>
          </w:p>
        </w:tc>
        <w:tc>
          <w:tcPr>
            <w:tcW w:w="1394" w:type="dxa"/>
            <w:shd w:val="clear" w:color="auto" w:fill="D9D9D9" w:themeFill="background1" w:themeFillShade="D9"/>
            <w:vAlign w:val="center"/>
          </w:tcPr>
          <w:p w:rsidR="00BE488A" w:rsidRPr="00814711" w:rsidRDefault="00BE488A" w:rsidP="003E1580">
            <w:pPr>
              <w:suppressAutoHyphens/>
              <w:spacing w:before="20" w:after="20"/>
              <w:ind w:left="34"/>
              <w:jc w:val="right"/>
              <w:rPr>
                <w:b/>
                <w:lang w:val="hr-HR" w:eastAsia="ar-SA"/>
              </w:rPr>
            </w:pPr>
            <w:r w:rsidRPr="00814711">
              <w:rPr>
                <w:b/>
                <w:lang w:val="hr-HR" w:eastAsia="ar-SA"/>
              </w:rPr>
              <w:t>9.071</w:t>
            </w:r>
          </w:p>
        </w:tc>
        <w:tc>
          <w:tcPr>
            <w:tcW w:w="1394" w:type="dxa"/>
            <w:shd w:val="clear" w:color="auto" w:fill="D9D9D9" w:themeFill="background1" w:themeFillShade="D9"/>
            <w:vAlign w:val="center"/>
          </w:tcPr>
          <w:p w:rsidR="00BE488A" w:rsidRPr="00814711" w:rsidRDefault="00BE488A" w:rsidP="003E1580">
            <w:pPr>
              <w:suppressAutoHyphens/>
              <w:spacing w:before="20" w:after="20"/>
              <w:ind w:left="49"/>
              <w:jc w:val="right"/>
              <w:rPr>
                <w:b/>
                <w:lang w:val="hr-HR" w:eastAsia="ar-SA"/>
              </w:rPr>
            </w:pPr>
            <w:r w:rsidRPr="00814711">
              <w:rPr>
                <w:b/>
                <w:lang w:val="hr-HR" w:eastAsia="ar-SA"/>
              </w:rPr>
              <w:t>5.745</w:t>
            </w:r>
          </w:p>
        </w:tc>
        <w:tc>
          <w:tcPr>
            <w:tcW w:w="1394" w:type="dxa"/>
            <w:shd w:val="clear" w:color="auto" w:fill="D9D9D9" w:themeFill="background1" w:themeFillShade="D9"/>
            <w:vAlign w:val="center"/>
          </w:tcPr>
          <w:p w:rsidR="00BE488A" w:rsidRPr="00814711" w:rsidRDefault="00BE488A" w:rsidP="003E1580">
            <w:pPr>
              <w:tabs>
                <w:tab w:val="left" w:pos="276"/>
                <w:tab w:val="left" w:pos="334"/>
              </w:tabs>
              <w:suppressAutoHyphens/>
              <w:spacing w:before="20" w:after="20"/>
              <w:jc w:val="right"/>
              <w:rPr>
                <w:b/>
                <w:lang w:val="hr-HR" w:eastAsia="ar-SA"/>
              </w:rPr>
            </w:pPr>
            <w:r w:rsidRPr="00814711">
              <w:rPr>
                <w:b/>
                <w:lang w:val="hr-HR" w:eastAsia="ar-SA"/>
              </w:rPr>
              <w:t>11.439</w:t>
            </w:r>
          </w:p>
        </w:tc>
        <w:tc>
          <w:tcPr>
            <w:tcW w:w="1394" w:type="dxa"/>
            <w:shd w:val="clear" w:color="auto" w:fill="D9D9D9" w:themeFill="background1" w:themeFillShade="D9"/>
            <w:vAlign w:val="center"/>
          </w:tcPr>
          <w:p w:rsidR="00BE488A" w:rsidRPr="00814711" w:rsidRDefault="00BE488A" w:rsidP="003E1580">
            <w:pPr>
              <w:tabs>
                <w:tab w:val="left" w:pos="392"/>
              </w:tabs>
              <w:suppressAutoHyphens/>
              <w:spacing w:before="20" w:after="20"/>
              <w:jc w:val="right"/>
              <w:rPr>
                <w:b/>
                <w:lang w:val="hr-HR" w:eastAsia="ar-SA"/>
              </w:rPr>
            </w:pPr>
            <w:r w:rsidRPr="00814711">
              <w:rPr>
                <w:b/>
                <w:lang w:val="hr-HR" w:eastAsia="ar-SA"/>
              </w:rPr>
              <w:t>59,3</w:t>
            </w:r>
          </w:p>
        </w:tc>
      </w:tr>
      <w:tr w:rsidR="00BE488A" w:rsidRPr="00814711" w:rsidTr="00B166AB">
        <w:tc>
          <w:tcPr>
            <w:tcW w:w="1346" w:type="dxa"/>
            <w:shd w:val="clear" w:color="auto" w:fill="D9D9D9" w:themeFill="background1" w:themeFillShade="D9"/>
          </w:tcPr>
          <w:p w:rsidR="00BE488A" w:rsidRPr="00814711" w:rsidRDefault="00BE488A" w:rsidP="003E1580">
            <w:pPr>
              <w:suppressAutoHyphens/>
              <w:spacing w:before="20" w:after="20"/>
              <w:rPr>
                <w:b/>
                <w:lang w:val="hr-HR" w:eastAsia="ar-SA"/>
              </w:rPr>
            </w:pPr>
            <w:r w:rsidRPr="00814711">
              <w:rPr>
                <w:b/>
                <w:lang w:val="hr-HR" w:eastAsia="ar-SA"/>
              </w:rPr>
              <w:t>FBiH</w:t>
            </w:r>
          </w:p>
        </w:tc>
        <w:tc>
          <w:tcPr>
            <w:tcW w:w="1290" w:type="dxa"/>
            <w:shd w:val="clear" w:color="auto" w:fill="D9D9D9" w:themeFill="background1" w:themeFillShade="D9"/>
            <w:vAlign w:val="center"/>
          </w:tcPr>
          <w:p w:rsidR="00BE488A" w:rsidRPr="00814711" w:rsidRDefault="00BE488A" w:rsidP="003E1580">
            <w:pPr>
              <w:suppressAutoHyphens/>
              <w:spacing w:before="20" w:after="20"/>
              <w:jc w:val="right"/>
              <w:rPr>
                <w:b/>
                <w:lang w:val="hr-HR" w:eastAsia="ar-SA"/>
              </w:rPr>
            </w:pPr>
            <w:r w:rsidRPr="00814711">
              <w:rPr>
                <w:b/>
                <w:lang w:val="hr-HR" w:eastAsia="ar-SA"/>
              </w:rPr>
              <w:t>2.206.231</w:t>
            </w:r>
          </w:p>
        </w:tc>
        <w:tc>
          <w:tcPr>
            <w:tcW w:w="1394" w:type="dxa"/>
            <w:shd w:val="clear" w:color="auto" w:fill="D9D9D9" w:themeFill="background1" w:themeFillShade="D9"/>
            <w:vAlign w:val="center"/>
          </w:tcPr>
          <w:p w:rsidR="00BE488A" w:rsidRPr="00814711" w:rsidRDefault="00BE488A" w:rsidP="003E1580">
            <w:pPr>
              <w:suppressAutoHyphens/>
              <w:spacing w:before="20" w:after="20"/>
              <w:jc w:val="right"/>
              <w:rPr>
                <w:b/>
                <w:lang w:val="hr-HR" w:eastAsia="ar-SA"/>
              </w:rPr>
            </w:pPr>
            <w:r w:rsidRPr="00814711">
              <w:rPr>
                <w:b/>
                <w:lang w:val="hr-HR" w:eastAsia="ar-SA"/>
              </w:rPr>
              <w:t>134.019</w:t>
            </w:r>
          </w:p>
        </w:tc>
        <w:tc>
          <w:tcPr>
            <w:tcW w:w="1394" w:type="dxa"/>
            <w:shd w:val="clear" w:color="auto" w:fill="D9D9D9" w:themeFill="background1" w:themeFillShade="D9"/>
            <w:vAlign w:val="center"/>
          </w:tcPr>
          <w:p w:rsidR="00BE488A" w:rsidRPr="00814711" w:rsidRDefault="00BE488A" w:rsidP="003E1580">
            <w:pPr>
              <w:suppressAutoHyphens/>
              <w:spacing w:before="20" w:after="20"/>
              <w:ind w:left="171"/>
              <w:jc w:val="right"/>
              <w:rPr>
                <w:b/>
                <w:lang w:val="hr-HR" w:eastAsia="ar-SA"/>
              </w:rPr>
            </w:pPr>
            <w:r w:rsidRPr="00814711">
              <w:rPr>
                <w:b/>
                <w:lang w:val="hr-HR" w:eastAsia="ar-SA"/>
              </w:rPr>
              <w:t>55.491</w:t>
            </w:r>
          </w:p>
        </w:tc>
        <w:tc>
          <w:tcPr>
            <w:tcW w:w="1394" w:type="dxa"/>
            <w:shd w:val="clear" w:color="auto" w:fill="D9D9D9" w:themeFill="background1" w:themeFillShade="D9"/>
            <w:vAlign w:val="center"/>
          </w:tcPr>
          <w:p w:rsidR="00BE488A" w:rsidRPr="00814711" w:rsidRDefault="00BE488A" w:rsidP="003E1580">
            <w:pPr>
              <w:suppressAutoHyphens/>
              <w:spacing w:before="20" w:after="20"/>
              <w:ind w:left="49"/>
              <w:jc w:val="right"/>
              <w:rPr>
                <w:b/>
                <w:lang w:val="hr-HR" w:eastAsia="ar-SA"/>
              </w:rPr>
            </w:pPr>
            <w:r w:rsidRPr="00814711">
              <w:rPr>
                <w:b/>
                <w:lang w:val="hr-HR" w:eastAsia="ar-SA"/>
              </w:rPr>
              <w:t>28.941</w:t>
            </w:r>
          </w:p>
        </w:tc>
        <w:tc>
          <w:tcPr>
            <w:tcW w:w="1394" w:type="dxa"/>
            <w:shd w:val="clear" w:color="auto" w:fill="D9D9D9" w:themeFill="background1" w:themeFillShade="D9"/>
            <w:vAlign w:val="center"/>
          </w:tcPr>
          <w:p w:rsidR="00BE488A" w:rsidRPr="00814711" w:rsidRDefault="00BE488A" w:rsidP="003E1580">
            <w:pPr>
              <w:suppressAutoHyphens/>
              <w:spacing w:before="20" w:after="20"/>
              <w:jc w:val="right"/>
              <w:rPr>
                <w:b/>
                <w:lang w:val="hr-HR" w:eastAsia="ar-SA"/>
              </w:rPr>
            </w:pPr>
            <w:r w:rsidRPr="00814711">
              <w:rPr>
                <w:b/>
                <w:lang w:val="hr-HR" w:eastAsia="ar-SA"/>
              </w:rPr>
              <w:t>49.602</w:t>
            </w:r>
          </w:p>
        </w:tc>
        <w:tc>
          <w:tcPr>
            <w:tcW w:w="1394" w:type="dxa"/>
            <w:shd w:val="clear" w:color="auto" w:fill="D9D9D9" w:themeFill="background1" w:themeFillShade="D9"/>
            <w:vAlign w:val="center"/>
          </w:tcPr>
          <w:p w:rsidR="00BE488A" w:rsidRPr="00814711" w:rsidRDefault="00BE488A" w:rsidP="003E1580">
            <w:pPr>
              <w:suppressAutoHyphens/>
              <w:spacing w:before="20" w:after="20"/>
              <w:jc w:val="right"/>
              <w:rPr>
                <w:b/>
                <w:lang w:val="hr-HR" w:eastAsia="ar-SA"/>
              </w:rPr>
            </w:pPr>
            <w:r w:rsidRPr="00814711">
              <w:rPr>
                <w:b/>
                <w:lang w:val="hr-HR" w:eastAsia="ar-SA"/>
              </w:rPr>
              <w:t>60,7</w:t>
            </w:r>
          </w:p>
        </w:tc>
      </w:tr>
    </w:tbl>
    <w:p w:rsidR="00B6405D" w:rsidRPr="00D26304" w:rsidRDefault="00BE488A" w:rsidP="00C33393">
      <w:pPr>
        <w:pStyle w:val="Izvorpodataka"/>
      </w:pPr>
      <w:r w:rsidRPr="00B166AB">
        <w:t>Izvor:</w:t>
      </w:r>
      <w:r w:rsidRPr="00B166AB">
        <w:rPr>
          <w:sz w:val="16"/>
          <w:szCs w:val="16"/>
        </w:rPr>
        <w:t xml:space="preserve"> </w:t>
      </w:r>
      <w:r w:rsidRPr="00B166AB">
        <w:t>Federalni zavod za statistiku</w:t>
      </w:r>
      <w:r w:rsidR="00B166AB" w:rsidRPr="00B166AB">
        <w:t xml:space="preserve"> (</w:t>
      </w:r>
      <w:r w:rsidRPr="00B166AB">
        <w:t>Obrada: Federalni</w:t>
      </w:r>
      <w:r w:rsidR="00E83C5A" w:rsidRPr="00B166AB">
        <w:t xml:space="preserve"> zavod za programiranje razvoja</w:t>
      </w:r>
      <w:r w:rsidR="00B166AB" w:rsidRPr="00B166AB">
        <w:t>)</w:t>
      </w:r>
    </w:p>
    <w:p w:rsidR="004F1AD2" w:rsidRDefault="004F1AD2" w:rsidP="003019A8">
      <w:pPr>
        <w:rPr>
          <w:lang w:val="hr-HR" w:eastAsia="ar-SA"/>
        </w:rPr>
      </w:pPr>
      <w:r w:rsidRPr="005F5DCD">
        <w:rPr>
          <w:lang w:val="hr-HR" w:eastAsia="ar-SA"/>
        </w:rPr>
        <w:t>Ako kao indikator ekonomske dinamike i razvijenosti poduzetništva uzmemo broj registriranih pravnih os</w:t>
      </w:r>
      <w:r>
        <w:rPr>
          <w:lang w:val="hr-HR" w:eastAsia="ar-SA"/>
        </w:rPr>
        <w:t>oba i obrta na 1.000 stanovnika</w:t>
      </w:r>
      <w:r w:rsidRPr="005F5DCD">
        <w:rPr>
          <w:lang w:val="hr-HR" w:eastAsia="ar-SA"/>
        </w:rPr>
        <w:t xml:space="preserve">, općina Kalesija spada u </w:t>
      </w:r>
      <w:r w:rsidR="00EE353E">
        <w:rPr>
          <w:lang w:val="hr-HR" w:eastAsia="ar-SA"/>
        </w:rPr>
        <w:t xml:space="preserve">grupu </w:t>
      </w:r>
      <w:r w:rsidRPr="005F5DCD">
        <w:rPr>
          <w:lang w:val="hr-HR" w:eastAsia="ar-SA"/>
        </w:rPr>
        <w:t>općin</w:t>
      </w:r>
      <w:r w:rsidR="00EE353E">
        <w:rPr>
          <w:lang w:val="hr-HR" w:eastAsia="ar-SA"/>
        </w:rPr>
        <w:t>a</w:t>
      </w:r>
      <w:r w:rsidRPr="005F5DCD">
        <w:rPr>
          <w:lang w:val="hr-HR" w:eastAsia="ar-SA"/>
        </w:rPr>
        <w:t xml:space="preserve"> </w:t>
      </w:r>
      <w:r w:rsidRPr="00EE353E">
        <w:rPr>
          <w:lang w:val="hr-HR" w:eastAsia="ar-SA"/>
        </w:rPr>
        <w:t>s najmanjim brojem pravnih osoba i obrta na 1.000 stanovnika (</w:t>
      </w:r>
      <w:r w:rsidR="00EE353E" w:rsidRPr="00EE353E">
        <w:rPr>
          <w:lang w:val="hr-HR" w:eastAsia="ar-SA"/>
        </w:rPr>
        <w:t>g</w:t>
      </w:r>
      <w:r w:rsidR="00F36180" w:rsidRPr="00EE353E">
        <w:rPr>
          <w:lang w:val="hr-HR" w:eastAsia="ar-SA"/>
        </w:rPr>
        <w:t>rafikon</w:t>
      </w:r>
      <w:r w:rsidRPr="00EE353E">
        <w:rPr>
          <w:lang w:val="hr-HR" w:eastAsia="ar-SA"/>
        </w:rPr>
        <w:t xml:space="preserve"> </w:t>
      </w:r>
      <w:r w:rsidR="00EE353E" w:rsidRPr="00EE353E">
        <w:rPr>
          <w:lang w:val="hr-HR" w:eastAsia="ar-SA"/>
        </w:rPr>
        <w:t>9</w:t>
      </w:r>
      <w:r w:rsidRPr="00EE353E">
        <w:rPr>
          <w:lang w:val="hr-HR" w:eastAsia="ar-SA"/>
        </w:rPr>
        <w:t>)</w:t>
      </w:r>
      <w:r w:rsidRPr="00EE353E">
        <w:rPr>
          <w:iCs/>
          <w:spacing w:val="-2"/>
          <w:vertAlign w:val="superscript"/>
          <w:lang w:val="hr-HR" w:eastAsia="ar-SA"/>
        </w:rPr>
        <w:footnoteReference w:id="7"/>
      </w:r>
      <w:r w:rsidRPr="00EE353E">
        <w:rPr>
          <w:lang w:val="hr-HR" w:eastAsia="ar-SA"/>
        </w:rPr>
        <w:t>.</w:t>
      </w:r>
      <w:r w:rsidRPr="005F5DCD">
        <w:rPr>
          <w:lang w:val="hr-HR" w:eastAsia="ar-SA"/>
        </w:rPr>
        <w:t xml:space="preserve"> </w:t>
      </w:r>
    </w:p>
    <w:p w:rsidR="007B0846" w:rsidRDefault="007B0846" w:rsidP="00194A79">
      <w:pPr>
        <w:pStyle w:val="Pitcures"/>
        <w:rPr>
          <w:lang w:eastAsia="ar-SA"/>
        </w:rPr>
      </w:pPr>
      <w:r w:rsidRPr="005F5DCD">
        <w:lastRenderedPageBreak/>
        <w:drawing>
          <wp:inline distT="0" distB="0" distL="0" distR="0" wp14:anchorId="678BD38D" wp14:editId="7A3FAF52">
            <wp:extent cx="5114544" cy="273588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26FE2" w:rsidRPr="00954B96" w:rsidRDefault="00126FE2" w:rsidP="00AD59CB">
      <w:pPr>
        <w:pStyle w:val="GrafiTabele"/>
      </w:pPr>
      <w:r w:rsidRPr="00954B96">
        <w:t xml:space="preserve">Grafikon </w:t>
      </w:r>
      <w:r w:rsidR="00EE353E">
        <w:t>9</w:t>
      </w:r>
      <w:r w:rsidRPr="00954B96">
        <w:t>: Broj registrovanih preduzeća u TK po općinama 2010 - 2016</w:t>
      </w:r>
    </w:p>
    <w:p w:rsidR="007B0846" w:rsidRPr="00954B96" w:rsidRDefault="00015F63" w:rsidP="00002807">
      <w:pPr>
        <w:pStyle w:val="Izvorpodataka"/>
        <w:spacing w:before="120"/>
      </w:pPr>
      <w:r w:rsidRPr="00954B96">
        <w:t>Izvor:</w:t>
      </w:r>
      <w:r w:rsidR="0038710F" w:rsidRPr="00954B96">
        <w:t xml:space="preserve"> Socioekonomski pokazatelji po općinama FBIH u 2016.</w:t>
      </w:r>
    </w:p>
    <w:p w:rsidR="004F1AD2" w:rsidRDefault="004F1AD2" w:rsidP="00002807">
      <w:pPr>
        <w:spacing w:after="120"/>
        <w:rPr>
          <w:lang w:val="hr-HR" w:eastAsia="ar-SA"/>
        </w:rPr>
      </w:pPr>
      <w:r w:rsidRPr="005F5DCD">
        <w:rPr>
          <w:lang w:val="hr-HR" w:eastAsia="ar-SA"/>
        </w:rPr>
        <w:t xml:space="preserve">Privatizacija prijeratnih državnih preduzeća nije proizvela očekivane efekte i pokretanje proizvodnje. Posebno je </w:t>
      </w:r>
      <w:r>
        <w:rPr>
          <w:lang w:val="hr-HR" w:eastAsia="ar-SA"/>
        </w:rPr>
        <w:t xml:space="preserve">bila </w:t>
      </w:r>
      <w:r w:rsidRPr="005F5DCD">
        <w:rPr>
          <w:lang w:val="hr-HR" w:eastAsia="ar-SA"/>
        </w:rPr>
        <w:t xml:space="preserve">izražena neaktivnost svih privatiziranih preduzeća </w:t>
      </w:r>
      <w:r>
        <w:rPr>
          <w:lang w:val="hr-HR" w:eastAsia="ar-SA"/>
        </w:rPr>
        <w:t>na</w:t>
      </w:r>
      <w:r w:rsidRPr="005F5DCD">
        <w:rPr>
          <w:lang w:val="hr-HR" w:eastAsia="ar-SA"/>
        </w:rPr>
        <w:t xml:space="preserve"> početku izvršene privatizacije</w:t>
      </w:r>
      <w:r>
        <w:rPr>
          <w:lang w:val="hr-HR" w:eastAsia="ar-SA"/>
        </w:rPr>
        <w:t>. U k</w:t>
      </w:r>
      <w:r w:rsidRPr="005F5DCD">
        <w:rPr>
          <w:lang w:val="hr-HR" w:eastAsia="ar-SA"/>
        </w:rPr>
        <w:t>asnij</w:t>
      </w:r>
      <w:r>
        <w:rPr>
          <w:lang w:val="hr-HR" w:eastAsia="ar-SA"/>
        </w:rPr>
        <w:t>em</w:t>
      </w:r>
      <w:r w:rsidRPr="005F5DCD">
        <w:rPr>
          <w:lang w:val="hr-HR" w:eastAsia="ar-SA"/>
        </w:rPr>
        <w:t xml:space="preserve"> rad</w:t>
      </w:r>
      <w:r>
        <w:rPr>
          <w:lang w:val="hr-HR" w:eastAsia="ar-SA"/>
        </w:rPr>
        <w:t>u</w:t>
      </w:r>
      <w:r w:rsidRPr="005F5DCD">
        <w:rPr>
          <w:lang w:val="hr-HR" w:eastAsia="ar-SA"/>
        </w:rPr>
        <w:t xml:space="preserve"> bilježi se pokretanje aktivnosti u firmama</w:t>
      </w:r>
      <w:r>
        <w:rPr>
          <w:lang w:val="hr-HR" w:eastAsia="ar-SA"/>
        </w:rPr>
        <w:t>,</w:t>
      </w:r>
      <w:r w:rsidRPr="005F5DCD">
        <w:rPr>
          <w:lang w:val="hr-HR" w:eastAsia="ar-SA"/>
        </w:rPr>
        <w:t xml:space="preserve"> kao što su “BUSCHERHOFPLASTIKAL”</w:t>
      </w:r>
      <w:r>
        <w:rPr>
          <w:lang w:val="hr-HR" w:eastAsia="ar-SA"/>
        </w:rPr>
        <w:t>,</w:t>
      </w:r>
      <w:r w:rsidRPr="005F5DCD">
        <w:rPr>
          <w:lang w:val="hr-HR" w:eastAsia="ar-SA"/>
        </w:rPr>
        <w:t xml:space="preserve"> “Unis Tok”</w:t>
      </w:r>
      <w:r>
        <w:rPr>
          <w:lang w:val="hr-HR" w:eastAsia="ar-SA"/>
        </w:rPr>
        <w:t>, “CPA” Tojšići i “Kaleteks”. P</w:t>
      </w:r>
      <w:r w:rsidRPr="005F5DCD">
        <w:rPr>
          <w:lang w:val="hr-HR" w:eastAsia="ar-SA"/>
        </w:rPr>
        <w:t xml:space="preserve">oslednjih godina neke od ovih firmi kao što je „Unis Tok“ i „Plastikal“ bilježe pozitivan razvoj i upošljavaju veći broj radnika, a u procesu rada bilježe veoma zapažene izvozne rezultate. </w:t>
      </w:r>
    </w:p>
    <w:p w:rsidR="002D1DFD" w:rsidRPr="005F5DCD" w:rsidRDefault="001C37BF" w:rsidP="00002807">
      <w:pPr>
        <w:spacing w:after="120"/>
        <w:rPr>
          <w:lang w:val="hr-HR" w:eastAsia="ar-SA"/>
        </w:rPr>
      </w:pPr>
      <w:r w:rsidRPr="005F5DCD">
        <w:rPr>
          <w:lang w:val="hr-HR" w:eastAsia="ar-SA"/>
        </w:rPr>
        <w:t>Na području općine ima oko 97 hektara zemljišta određenog kao privredna zona, ali sa djelomično uređenom infrastrukturom (struja, putevi, telefon, voda). Urbanističko planiranje, zaustavljanje divlje gradnje i planski razvoj infrastrukture na području općine su polazna osnova za stvaranje preduvjeta za ekonomski razvoj. Glavne grane unutar djelatnosti prerađivačke industrije su</w:t>
      </w:r>
      <w:r w:rsidR="002D1DFD">
        <w:rPr>
          <w:lang w:val="hr-HR" w:eastAsia="ar-SA"/>
        </w:rPr>
        <w:t xml:space="preserve"> </w:t>
      </w:r>
      <w:r w:rsidRPr="005F5DCD">
        <w:rPr>
          <w:lang w:val="hr-HR" w:eastAsia="ar-SA"/>
        </w:rPr>
        <w:t>obrada metala i plastike, finalna obrada drveta, proizvodnja kartonske i plastične ambalaže te tekstilna industrija, koji mogu biti daleko konkurentniji, razvijajući prateću oblat male privrede.</w:t>
      </w:r>
      <w:r>
        <w:rPr>
          <w:lang w:val="hr-HR" w:eastAsia="ar-SA"/>
        </w:rPr>
        <w:t xml:space="preserve"> </w:t>
      </w:r>
      <w:r w:rsidR="005C3DCA" w:rsidRPr="005C3DCA">
        <w:rPr>
          <w:lang w:val="hr-HR" w:eastAsia="ar-SA"/>
        </w:rPr>
        <w:t>Transformaciju ekonomije na području općine Kalesija karakterizira značajno smanjenje prerađivačke industrije, te rast uslužnih djelatnosti (trgovina, transport, itd.).</w:t>
      </w:r>
      <w:r w:rsidR="005C3DCA">
        <w:rPr>
          <w:lang w:val="hr-HR" w:eastAsia="ar-SA"/>
        </w:rPr>
        <w:t xml:space="preserve">  </w:t>
      </w:r>
    </w:p>
    <w:p w:rsidR="00C44F3C" w:rsidRPr="00C44F3C" w:rsidRDefault="00C44F3C" w:rsidP="00AD59CB">
      <w:pPr>
        <w:pStyle w:val="Heading4"/>
        <w:rPr>
          <w:lang w:eastAsia="ar-SA"/>
        </w:rPr>
      </w:pPr>
      <w:bookmarkStart w:id="27" w:name="_Toc500140006"/>
      <w:r w:rsidRPr="00C44F3C">
        <w:rPr>
          <w:lang w:eastAsia="ar-SA"/>
        </w:rPr>
        <w:t>Prosječna pla</w:t>
      </w:r>
      <w:r w:rsidR="00B111BA">
        <w:rPr>
          <w:lang w:eastAsia="ar-SA"/>
        </w:rPr>
        <w:t>ć</w:t>
      </w:r>
      <w:r w:rsidRPr="00C44F3C">
        <w:rPr>
          <w:lang w:eastAsia="ar-SA"/>
        </w:rPr>
        <w:t>a</w:t>
      </w:r>
      <w:bookmarkEnd w:id="27"/>
    </w:p>
    <w:p w:rsidR="00C44F3C" w:rsidRPr="00E0060B" w:rsidRDefault="00C44F3C" w:rsidP="00002807">
      <w:pPr>
        <w:rPr>
          <w:lang w:val="hr-HR" w:eastAsia="ar-SA"/>
        </w:rPr>
      </w:pPr>
      <w:r w:rsidRPr="005F5DCD">
        <w:rPr>
          <w:lang w:val="hr-HR" w:eastAsia="ar-SA"/>
        </w:rPr>
        <w:t>Iznos prosječne n</w:t>
      </w:r>
      <w:r>
        <w:rPr>
          <w:lang w:val="hr-HR" w:eastAsia="ar-SA"/>
        </w:rPr>
        <w:t>e</w:t>
      </w:r>
      <w:r w:rsidRPr="005F5DCD">
        <w:rPr>
          <w:lang w:val="hr-HR" w:eastAsia="ar-SA"/>
        </w:rPr>
        <w:t>to pla</w:t>
      </w:r>
      <w:r w:rsidR="00B111BA">
        <w:rPr>
          <w:lang w:val="hr-HR" w:eastAsia="ar-SA"/>
        </w:rPr>
        <w:t>ć</w:t>
      </w:r>
      <w:r w:rsidRPr="005F5DCD">
        <w:rPr>
          <w:lang w:val="hr-HR" w:eastAsia="ar-SA"/>
        </w:rPr>
        <w:t xml:space="preserve">e na području općine Kalesija u 2016. godini </w:t>
      </w:r>
      <w:r w:rsidR="00914D9A">
        <w:rPr>
          <w:lang w:val="hr-HR" w:eastAsia="ar-SA"/>
        </w:rPr>
        <w:t>je bio</w:t>
      </w:r>
      <w:r w:rsidRPr="005F5DCD">
        <w:rPr>
          <w:lang w:val="hr-HR" w:eastAsia="ar-SA"/>
        </w:rPr>
        <w:t xml:space="preserve"> 622 KM</w:t>
      </w:r>
      <w:r>
        <w:rPr>
          <w:lang w:val="hr-HR" w:eastAsia="ar-SA"/>
        </w:rPr>
        <w:t>, što iznosi</w:t>
      </w:r>
      <w:r w:rsidRPr="005F5DCD">
        <w:rPr>
          <w:lang w:val="hr-HR" w:eastAsia="ar-SA"/>
        </w:rPr>
        <w:t xml:space="preserve"> 73,9 % u odnosu na prosjek FBIH</w:t>
      </w:r>
      <w:r>
        <w:rPr>
          <w:lang w:val="hr-HR" w:eastAsia="ar-SA"/>
        </w:rPr>
        <w:t>. Pros</w:t>
      </w:r>
      <w:r w:rsidR="00B111BA">
        <w:rPr>
          <w:lang w:val="hr-HR" w:eastAsia="ar-SA"/>
        </w:rPr>
        <w:t>ječna plać</w:t>
      </w:r>
      <w:r w:rsidRPr="005F5DCD">
        <w:rPr>
          <w:lang w:val="hr-HR" w:eastAsia="ar-SA"/>
        </w:rPr>
        <w:t>a ostvarena u 2015</w:t>
      </w:r>
      <w:r>
        <w:rPr>
          <w:lang w:val="hr-HR" w:eastAsia="ar-SA"/>
        </w:rPr>
        <w:t>.</w:t>
      </w:r>
      <w:r w:rsidRPr="005F5DCD">
        <w:rPr>
          <w:lang w:val="hr-HR" w:eastAsia="ar-SA"/>
        </w:rPr>
        <w:t xml:space="preserve"> godini </w:t>
      </w:r>
      <w:r>
        <w:rPr>
          <w:lang w:val="hr-HR" w:eastAsia="ar-SA"/>
        </w:rPr>
        <w:t>iznosila</w:t>
      </w:r>
      <w:r w:rsidRPr="005F5DCD">
        <w:rPr>
          <w:lang w:val="hr-HR" w:eastAsia="ar-SA"/>
        </w:rPr>
        <w:t xml:space="preserve"> je 614 KM</w:t>
      </w:r>
      <w:r>
        <w:rPr>
          <w:lang w:val="hr-HR" w:eastAsia="ar-SA"/>
        </w:rPr>
        <w:t>,</w:t>
      </w:r>
      <w:r w:rsidR="00B111BA">
        <w:rPr>
          <w:lang w:val="hr-HR" w:eastAsia="ar-SA"/>
        </w:rPr>
        <w:t xml:space="preserve"> što znači da je prosječna plać</w:t>
      </w:r>
      <w:r w:rsidR="00914D9A">
        <w:rPr>
          <w:lang w:val="hr-HR" w:eastAsia="ar-SA"/>
        </w:rPr>
        <w:t>a u 2016. godini povećana za 1,3</w:t>
      </w:r>
      <w:r w:rsidRPr="005F5DCD">
        <w:rPr>
          <w:lang w:val="hr-HR" w:eastAsia="ar-SA"/>
        </w:rPr>
        <w:t xml:space="preserve">% u odnosu na </w:t>
      </w:r>
      <w:r w:rsidR="00914D9A">
        <w:rPr>
          <w:lang w:val="hr-HR" w:eastAsia="ar-SA"/>
        </w:rPr>
        <w:t>prethodnu</w:t>
      </w:r>
      <w:r w:rsidRPr="005F5DCD">
        <w:rPr>
          <w:lang w:val="hr-HR" w:eastAsia="ar-SA"/>
        </w:rPr>
        <w:t xml:space="preserve"> godinu</w:t>
      </w:r>
      <w:r>
        <w:rPr>
          <w:lang w:val="hr-HR" w:eastAsia="ar-SA"/>
        </w:rPr>
        <w:t>. I</w:t>
      </w:r>
      <w:r w:rsidRPr="005F5DCD">
        <w:rPr>
          <w:lang w:val="hr-HR" w:eastAsia="ar-SA"/>
        </w:rPr>
        <w:t xml:space="preserve">ako </w:t>
      </w:r>
      <w:r w:rsidR="00B111BA">
        <w:rPr>
          <w:lang w:val="hr-HR" w:eastAsia="ar-SA"/>
        </w:rPr>
        <w:t>poslednjih godina prosječna plać</w:t>
      </w:r>
      <w:r w:rsidRPr="005F5DCD">
        <w:rPr>
          <w:lang w:val="hr-HR" w:eastAsia="ar-SA"/>
        </w:rPr>
        <w:t>a na području općine Kalesija kontinuirano raste</w:t>
      </w:r>
      <w:r>
        <w:rPr>
          <w:lang w:val="hr-HR" w:eastAsia="ar-SA"/>
        </w:rPr>
        <w:t>,</w:t>
      </w:r>
      <w:r w:rsidRPr="005F5DCD">
        <w:rPr>
          <w:lang w:val="hr-HR" w:eastAsia="ar-SA"/>
        </w:rPr>
        <w:t xml:space="preserve"> posmatramo li prosječnu plaću u općinama TK vidimo da je prosječna </w:t>
      </w:r>
      <w:r w:rsidRPr="00EE353E">
        <w:rPr>
          <w:lang w:val="hr-HR" w:eastAsia="ar-SA"/>
        </w:rPr>
        <w:t>plaća u općini Kalesija među najnižim plaćama u Kantonu</w:t>
      </w:r>
      <w:r w:rsidR="00914D9A" w:rsidRPr="00EE353E">
        <w:rPr>
          <w:lang w:val="hr-HR" w:eastAsia="ar-SA"/>
        </w:rPr>
        <w:t xml:space="preserve"> (</w:t>
      </w:r>
      <w:r w:rsidR="00EE353E">
        <w:rPr>
          <w:lang w:val="hr-HR" w:eastAsia="ar-SA"/>
        </w:rPr>
        <w:t>g</w:t>
      </w:r>
      <w:r w:rsidR="00914D9A" w:rsidRPr="00EE353E">
        <w:rPr>
          <w:lang w:val="hr-HR" w:eastAsia="ar-SA"/>
        </w:rPr>
        <w:t xml:space="preserve">rafikon </w:t>
      </w:r>
      <w:r w:rsidR="00EE353E" w:rsidRPr="00EE353E">
        <w:rPr>
          <w:lang w:val="hr-HR" w:eastAsia="ar-SA"/>
        </w:rPr>
        <w:t>10</w:t>
      </w:r>
      <w:r w:rsidR="00914D9A" w:rsidRPr="00EE353E">
        <w:rPr>
          <w:lang w:val="hr-HR" w:eastAsia="ar-SA"/>
        </w:rPr>
        <w:t>)</w:t>
      </w:r>
      <w:r w:rsidRPr="00EE353E">
        <w:rPr>
          <w:lang w:val="hr-HR" w:eastAsia="ar-SA"/>
        </w:rPr>
        <w:t>.</w:t>
      </w:r>
    </w:p>
    <w:p w:rsidR="00D84C01" w:rsidRPr="00D84C01" w:rsidRDefault="00C44F3C" w:rsidP="00194A79">
      <w:pPr>
        <w:pStyle w:val="Pitcures"/>
        <w:rPr>
          <w:bCs/>
          <w:iCs/>
          <w:lang w:eastAsia="ar-SA"/>
        </w:rPr>
      </w:pPr>
      <w:r w:rsidRPr="00194A79">
        <w:lastRenderedPageBreak/>
        <w:drawing>
          <wp:inline distT="0" distB="0" distL="0" distR="0" wp14:anchorId="7835DA97" wp14:editId="450FD229">
            <wp:extent cx="5614035" cy="2735885"/>
            <wp:effectExtent l="0" t="0" r="5715" b="76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57852" w:rsidRPr="00E45D98" w:rsidRDefault="00657852" w:rsidP="00AD59CB">
      <w:pPr>
        <w:pStyle w:val="GrafiTabele"/>
      </w:pPr>
      <w:r w:rsidRPr="00E3155F">
        <w:t>Grafikon 1</w:t>
      </w:r>
      <w:r w:rsidR="00EE353E">
        <w:t>0</w:t>
      </w:r>
      <w:r w:rsidRPr="00E3155F">
        <w:t>: Plate po općinama TK (2016)</w:t>
      </w:r>
    </w:p>
    <w:p w:rsidR="00C44F3C" w:rsidRDefault="00657852" w:rsidP="00AD59CB">
      <w:pPr>
        <w:pStyle w:val="Izvorpodataka"/>
      </w:pPr>
      <w:r>
        <w:tab/>
      </w:r>
      <w:r w:rsidR="00BC7C4C" w:rsidRPr="00657852">
        <w:t>Izvor:</w:t>
      </w:r>
      <w:r w:rsidR="00D84C01" w:rsidRPr="00657852">
        <w:t xml:space="preserve"> Socioekonomski pokazatelji po općinama u TK u 2015 g. </w:t>
      </w:r>
    </w:p>
    <w:p w:rsidR="00EE28B3" w:rsidRPr="00EE28B3" w:rsidRDefault="00EE28B3" w:rsidP="00AD59CB">
      <w:pPr>
        <w:pStyle w:val="Heading4"/>
        <w:rPr>
          <w:lang w:eastAsia="ar-SA"/>
        </w:rPr>
      </w:pPr>
      <w:bookmarkStart w:id="28" w:name="_Toc500140007"/>
      <w:r w:rsidRPr="00EE28B3">
        <w:rPr>
          <w:lang w:eastAsia="ar-SA"/>
        </w:rPr>
        <w:t>Spoljno trgovinska razmjena</w:t>
      </w:r>
      <w:bookmarkEnd w:id="28"/>
    </w:p>
    <w:p w:rsidR="00EE28B3" w:rsidRPr="005F5DCD" w:rsidRDefault="00EE28B3" w:rsidP="00002807">
      <w:pPr>
        <w:spacing w:before="60"/>
        <w:rPr>
          <w:lang w:val="hr-HR" w:eastAsia="ar-SA"/>
        </w:rPr>
      </w:pPr>
      <w:r>
        <w:rPr>
          <w:lang w:val="hr-HR" w:eastAsia="ar-SA"/>
        </w:rPr>
        <w:t xml:space="preserve">Prema statističkim </w:t>
      </w:r>
      <w:r w:rsidRPr="005F5DCD">
        <w:rPr>
          <w:lang w:val="hr-HR" w:eastAsia="ar-SA"/>
        </w:rPr>
        <w:t xml:space="preserve">podacima </w:t>
      </w:r>
      <w:r w:rsidR="00350878">
        <w:rPr>
          <w:lang w:val="hr-HR" w:eastAsia="ar-SA"/>
        </w:rPr>
        <w:t>za</w:t>
      </w:r>
      <w:r w:rsidRPr="005F5DCD">
        <w:rPr>
          <w:lang w:val="hr-HR" w:eastAsia="ar-SA"/>
        </w:rPr>
        <w:t xml:space="preserve"> 2016. godin</w:t>
      </w:r>
      <w:r w:rsidR="00350878">
        <w:rPr>
          <w:lang w:val="hr-HR" w:eastAsia="ar-SA"/>
        </w:rPr>
        <w:t>u</w:t>
      </w:r>
      <w:r w:rsidRPr="005F5DCD">
        <w:rPr>
          <w:lang w:val="hr-HR" w:eastAsia="ar-SA"/>
        </w:rPr>
        <w:t xml:space="preserve"> općina Kalesija je uvezla ro</w:t>
      </w:r>
      <w:r>
        <w:rPr>
          <w:lang w:val="hr-HR" w:eastAsia="ar-SA"/>
        </w:rPr>
        <w:t>be u vrijednosti 47.806.000 KM,</w:t>
      </w:r>
      <w:r w:rsidRPr="005F5DCD">
        <w:rPr>
          <w:lang w:val="hr-HR" w:eastAsia="ar-SA"/>
        </w:rPr>
        <w:t xml:space="preserve"> </w:t>
      </w:r>
      <w:r w:rsidR="00C350D2">
        <w:rPr>
          <w:lang w:val="hr-HR" w:eastAsia="ar-SA"/>
        </w:rPr>
        <w:t>a</w:t>
      </w:r>
      <w:r w:rsidRPr="005F5DCD">
        <w:rPr>
          <w:lang w:val="hr-HR" w:eastAsia="ar-SA"/>
        </w:rPr>
        <w:t xml:space="preserve"> izvezla je robe u vrijednosti od 48.600.000 KM</w:t>
      </w:r>
      <w:r w:rsidR="00350878">
        <w:rPr>
          <w:lang w:val="hr-HR" w:eastAsia="ar-SA"/>
        </w:rPr>
        <w:t xml:space="preserve">. Dakle, </w:t>
      </w:r>
      <w:r w:rsidRPr="005F5DCD">
        <w:rPr>
          <w:lang w:val="hr-HR" w:eastAsia="ar-SA"/>
        </w:rPr>
        <w:t xml:space="preserve">saldo robne razmjene u općini Kalesija </w:t>
      </w:r>
      <w:r w:rsidR="00350878">
        <w:rPr>
          <w:lang w:val="hr-HR" w:eastAsia="ar-SA"/>
        </w:rPr>
        <w:t xml:space="preserve">je </w:t>
      </w:r>
      <w:r w:rsidRPr="005F5DCD">
        <w:rPr>
          <w:lang w:val="hr-HR" w:eastAsia="ar-SA"/>
        </w:rPr>
        <w:t>pozitivan u iznosu od 794.000 KM</w:t>
      </w:r>
      <w:r w:rsidR="00EE353E">
        <w:rPr>
          <w:lang w:val="hr-HR" w:eastAsia="ar-SA"/>
        </w:rPr>
        <w:t xml:space="preserve"> (tabela 4)</w:t>
      </w:r>
      <w:r>
        <w:rPr>
          <w:lang w:val="hr-HR" w:eastAsia="ar-SA"/>
        </w:rPr>
        <w:t>.</w:t>
      </w:r>
      <w:r w:rsidR="00350878">
        <w:rPr>
          <w:lang w:val="hr-HR" w:eastAsia="ar-SA"/>
        </w:rPr>
        <w:t xml:space="preserve"> </w:t>
      </w:r>
    </w:p>
    <w:p w:rsidR="00701D30" w:rsidRPr="005F5DCD" w:rsidRDefault="00EE28B3" w:rsidP="00002807">
      <w:pPr>
        <w:rPr>
          <w:lang w:val="hr-HR" w:eastAsia="ar-SA"/>
        </w:rPr>
      </w:pPr>
      <w:r w:rsidRPr="005F5DCD">
        <w:rPr>
          <w:lang w:val="hr-HR" w:eastAsia="ar-SA"/>
        </w:rPr>
        <w:t>U 2016. godini privreda općine Kalesija učestvovala je u izvozu sa 0,78% čime je na 6</w:t>
      </w:r>
      <w:r w:rsidR="00350878">
        <w:rPr>
          <w:lang w:val="hr-HR" w:eastAsia="ar-SA"/>
        </w:rPr>
        <w:t>.</w:t>
      </w:r>
      <w:r w:rsidRPr="005F5DCD">
        <w:rPr>
          <w:lang w:val="hr-HR" w:eastAsia="ar-SA"/>
        </w:rPr>
        <w:t xml:space="preserve"> mjestu po izvozu u  </w:t>
      </w:r>
      <w:r w:rsidR="00D876D8">
        <w:rPr>
          <w:lang w:val="hr-HR" w:eastAsia="ar-SA"/>
        </w:rPr>
        <w:t>TK, dok je u ukupnom uvozu u TK</w:t>
      </w:r>
      <w:r w:rsidRPr="005F5DCD">
        <w:rPr>
          <w:lang w:val="hr-HR" w:eastAsia="ar-SA"/>
        </w:rPr>
        <w:t xml:space="preserve"> učestvovala sa 0,44%. Pokrivenost uvoza izvozom u općini Kalesija iznosi</w:t>
      </w:r>
      <w:r w:rsidR="00D876D8">
        <w:rPr>
          <w:lang w:val="hr-HR" w:eastAsia="ar-SA"/>
        </w:rPr>
        <w:t>la</w:t>
      </w:r>
      <w:r w:rsidRPr="005F5DCD">
        <w:rPr>
          <w:lang w:val="hr-HR" w:eastAsia="ar-SA"/>
        </w:rPr>
        <w:t xml:space="preserve"> j</w:t>
      </w:r>
      <w:r w:rsidR="00350878">
        <w:rPr>
          <w:lang w:val="hr-HR" w:eastAsia="ar-SA"/>
        </w:rPr>
        <w:t>e 101,6%</w:t>
      </w:r>
      <w:r w:rsidR="00D876D8">
        <w:rPr>
          <w:lang w:val="hr-HR" w:eastAsia="ar-SA"/>
        </w:rPr>
        <w:t>,</w:t>
      </w:r>
      <w:r w:rsidR="00350878">
        <w:rPr>
          <w:lang w:val="hr-HR" w:eastAsia="ar-SA"/>
        </w:rPr>
        <w:t xml:space="preserve"> što je značajno iznad </w:t>
      </w:r>
      <w:r w:rsidR="00D876D8">
        <w:rPr>
          <w:lang w:val="hr-HR" w:eastAsia="ar-SA"/>
        </w:rPr>
        <w:t xml:space="preserve">nivoa </w:t>
      </w:r>
      <w:r w:rsidRPr="005F5DCD">
        <w:rPr>
          <w:lang w:val="hr-HR" w:eastAsia="ar-SA"/>
        </w:rPr>
        <w:t>drug</w:t>
      </w:r>
      <w:r>
        <w:rPr>
          <w:lang w:val="hr-HR" w:eastAsia="ar-SA"/>
        </w:rPr>
        <w:t xml:space="preserve">ih općina u </w:t>
      </w:r>
      <w:r w:rsidR="00350878">
        <w:rPr>
          <w:lang w:val="hr-HR" w:eastAsia="ar-SA"/>
        </w:rPr>
        <w:t>TK</w:t>
      </w:r>
      <w:r>
        <w:rPr>
          <w:lang w:val="hr-HR" w:eastAsia="ar-SA"/>
        </w:rPr>
        <w:t>.</w:t>
      </w:r>
    </w:p>
    <w:p w:rsidR="00701D30" w:rsidRPr="00E45D98" w:rsidRDefault="00701D30" w:rsidP="00AD59CB">
      <w:pPr>
        <w:pStyle w:val="GrafiTabele"/>
      </w:pPr>
      <w:r w:rsidRPr="00701D30">
        <w:t>Tabela</w:t>
      </w:r>
      <w:r w:rsidR="00AD5B08">
        <w:t xml:space="preserve"> </w:t>
      </w:r>
      <w:r w:rsidR="00EE353E">
        <w:t>4</w:t>
      </w:r>
      <w:r w:rsidRPr="00701D30">
        <w:t>: Vanjskotrgovinska razmjena FBiH po općinama u 2016.godini</w:t>
      </w:r>
    </w:p>
    <w:tbl>
      <w:tblPr>
        <w:tblStyle w:val="TableGrid"/>
        <w:tblW w:w="0" w:type="auto"/>
        <w:jc w:val="center"/>
        <w:tblLook w:val="04A0" w:firstRow="1" w:lastRow="0" w:firstColumn="1" w:lastColumn="0" w:noHBand="0" w:noVBand="1"/>
      </w:tblPr>
      <w:tblGrid>
        <w:gridCol w:w="1375"/>
        <w:gridCol w:w="1373"/>
        <w:gridCol w:w="1332"/>
        <w:gridCol w:w="1373"/>
        <w:gridCol w:w="1333"/>
        <w:gridCol w:w="1416"/>
        <w:gridCol w:w="1374"/>
      </w:tblGrid>
      <w:tr w:rsidR="00EE28B3" w:rsidRPr="000721B2" w:rsidTr="00B01C90">
        <w:trPr>
          <w:jc w:val="center"/>
        </w:trPr>
        <w:tc>
          <w:tcPr>
            <w:tcW w:w="1455" w:type="dxa"/>
            <w:shd w:val="clear" w:color="auto" w:fill="D9D9D9" w:themeFill="background1" w:themeFillShade="D9"/>
            <w:vAlign w:val="center"/>
          </w:tcPr>
          <w:p w:rsidR="00EE28B3" w:rsidRPr="000721B2" w:rsidRDefault="00EE28B3" w:rsidP="00EE353E">
            <w:pPr>
              <w:suppressAutoHyphens/>
              <w:spacing w:before="20" w:after="20"/>
              <w:jc w:val="center"/>
              <w:rPr>
                <w:rFonts w:eastAsia="Batang"/>
                <w:b/>
                <w:lang w:val="hr-HR" w:eastAsia="ar-SA"/>
              </w:rPr>
            </w:pPr>
            <w:r w:rsidRPr="000721B2">
              <w:rPr>
                <w:rFonts w:eastAsia="Batang"/>
                <w:b/>
                <w:lang w:val="hr-HR" w:eastAsia="ar-SA"/>
              </w:rPr>
              <w:t>Naziv općine</w:t>
            </w:r>
          </w:p>
        </w:tc>
        <w:tc>
          <w:tcPr>
            <w:tcW w:w="1455" w:type="dxa"/>
            <w:shd w:val="clear" w:color="auto" w:fill="D9D9D9" w:themeFill="background1" w:themeFillShade="D9"/>
            <w:vAlign w:val="center"/>
          </w:tcPr>
          <w:p w:rsidR="00EE353E" w:rsidRDefault="00EE28B3" w:rsidP="00EE353E">
            <w:pPr>
              <w:suppressAutoHyphens/>
              <w:spacing w:before="20" w:after="20"/>
              <w:jc w:val="center"/>
              <w:rPr>
                <w:rFonts w:eastAsia="Batang"/>
                <w:b/>
                <w:lang w:val="hr-HR" w:eastAsia="ar-SA"/>
              </w:rPr>
            </w:pPr>
            <w:r w:rsidRPr="000721B2">
              <w:rPr>
                <w:rFonts w:eastAsia="Batang"/>
                <w:b/>
                <w:lang w:val="hr-HR" w:eastAsia="ar-SA"/>
              </w:rPr>
              <w:t>Uvoz</w:t>
            </w:r>
            <w:r w:rsidR="00EE353E">
              <w:rPr>
                <w:rFonts w:eastAsia="Batang"/>
                <w:b/>
                <w:lang w:val="hr-HR" w:eastAsia="ar-SA"/>
              </w:rPr>
              <w:t xml:space="preserve"> </w:t>
            </w:r>
          </w:p>
          <w:p w:rsidR="00EE28B3" w:rsidRPr="000721B2" w:rsidRDefault="00EE353E" w:rsidP="00EE353E">
            <w:pPr>
              <w:suppressAutoHyphens/>
              <w:spacing w:before="20" w:after="20"/>
              <w:jc w:val="center"/>
              <w:rPr>
                <w:rFonts w:eastAsia="Batang"/>
                <w:b/>
                <w:lang w:val="hr-HR" w:eastAsia="ar-SA"/>
              </w:rPr>
            </w:pPr>
            <w:r>
              <w:rPr>
                <w:rFonts w:eastAsia="Batang"/>
                <w:b/>
                <w:lang w:val="hr-HR" w:eastAsia="ar-SA"/>
              </w:rPr>
              <w:t>(000 KM)</w:t>
            </w:r>
          </w:p>
        </w:tc>
        <w:tc>
          <w:tcPr>
            <w:tcW w:w="1455" w:type="dxa"/>
            <w:shd w:val="clear" w:color="auto" w:fill="D9D9D9" w:themeFill="background1" w:themeFillShade="D9"/>
            <w:vAlign w:val="center"/>
          </w:tcPr>
          <w:p w:rsidR="00EE28B3" w:rsidRPr="000721B2" w:rsidRDefault="00EE28B3" w:rsidP="00EE353E">
            <w:pPr>
              <w:suppressAutoHyphens/>
              <w:spacing w:before="20" w:after="20"/>
              <w:jc w:val="center"/>
              <w:rPr>
                <w:rFonts w:eastAsia="Batang"/>
                <w:b/>
                <w:lang w:val="hr-HR" w:eastAsia="ar-SA"/>
              </w:rPr>
            </w:pPr>
            <w:r w:rsidRPr="000721B2">
              <w:rPr>
                <w:rFonts w:eastAsia="Batang"/>
                <w:b/>
                <w:lang w:val="hr-HR" w:eastAsia="ar-SA"/>
              </w:rPr>
              <w:t>Učešće u uvozu (%)</w:t>
            </w:r>
          </w:p>
        </w:tc>
        <w:tc>
          <w:tcPr>
            <w:tcW w:w="1455" w:type="dxa"/>
            <w:shd w:val="clear" w:color="auto" w:fill="D9D9D9" w:themeFill="background1" w:themeFillShade="D9"/>
            <w:vAlign w:val="center"/>
          </w:tcPr>
          <w:p w:rsidR="00EE28B3" w:rsidRDefault="00EE28B3" w:rsidP="00EE353E">
            <w:pPr>
              <w:suppressAutoHyphens/>
              <w:spacing w:before="20" w:after="20"/>
              <w:jc w:val="center"/>
              <w:rPr>
                <w:rFonts w:eastAsia="Batang"/>
                <w:b/>
                <w:lang w:val="hr-HR" w:eastAsia="ar-SA"/>
              </w:rPr>
            </w:pPr>
            <w:r w:rsidRPr="000721B2">
              <w:rPr>
                <w:rFonts w:eastAsia="Batang"/>
                <w:b/>
                <w:lang w:val="hr-HR" w:eastAsia="ar-SA"/>
              </w:rPr>
              <w:t>Izvoz</w:t>
            </w:r>
          </w:p>
          <w:p w:rsidR="00EE353E" w:rsidRPr="000721B2" w:rsidRDefault="00EE353E" w:rsidP="00EE353E">
            <w:pPr>
              <w:suppressAutoHyphens/>
              <w:spacing w:before="20" w:after="20"/>
              <w:jc w:val="center"/>
              <w:rPr>
                <w:rFonts w:eastAsia="Batang"/>
                <w:b/>
                <w:lang w:val="hr-HR" w:eastAsia="ar-SA"/>
              </w:rPr>
            </w:pPr>
            <w:r>
              <w:rPr>
                <w:rFonts w:eastAsia="Batang"/>
                <w:b/>
                <w:lang w:val="hr-HR" w:eastAsia="ar-SA"/>
              </w:rPr>
              <w:t>(000 KM)</w:t>
            </w:r>
          </w:p>
        </w:tc>
        <w:tc>
          <w:tcPr>
            <w:tcW w:w="1456" w:type="dxa"/>
            <w:shd w:val="clear" w:color="auto" w:fill="D9D9D9" w:themeFill="background1" w:themeFillShade="D9"/>
            <w:vAlign w:val="center"/>
          </w:tcPr>
          <w:p w:rsidR="00EE28B3" w:rsidRPr="000721B2" w:rsidRDefault="00EE28B3" w:rsidP="00EE353E">
            <w:pPr>
              <w:suppressAutoHyphens/>
              <w:spacing w:before="20" w:after="20"/>
              <w:jc w:val="center"/>
              <w:rPr>
                <w:rFonts w:eastAsia="Batang"/>
                <w:b/>
                <w:lang w:val="hr-HR" w:eastAsia="ar-SA"/>
              </w:rPr>
            </w:pPr>
            <w:r w:rsidRPr="000721B2">
              <w:rPr>
                <w:rFonts w:eastAsia="Batang"/>
                <w:b/>
                <w:lang w:val="hr-HR" w:eastAsia="ar-SA"/>
              </w:rPr>
              <w:t>Učešće u izvozu (%)</w:t>
            </w:r>
          </w:p>
        </w:tc>
        <w:tc>
          <w:tcPr>
            <w:tcW w:w="1456" w:type="dxa"/>
            <w:shd w:val="clear" w:color="auto" w:fill="D9D9D9" w:themeFill="background1" w:themeFillShade="D9"/>
            <w:vAlign w:val="center"/>
          </w:tcPr>
          <w:p w:rsidR="00EE28B3" w:rsidRPr="000721B2" w:rsidRDefault="00EE28B3" w:rsidP="00EE353E">
            <w:pPr>
              <w:suppressAutoHyphens/>
              <w:spacing w:before="20" w:after="20"/>
              <w:jc w:val="center"/>
              <w:rPr>
                <w:rFonts w:eastAsia="Batang"/>
                <w:b/>
                <w:lang w:val="hr-HR" w:eastAsia="ar-SA"/>
              </w:rPr>
            </w:pPr>
            <w:r w:rsidRPr="000721B2">
              <w:rPr>
                <w:rFonts w:eastAsia="Batang"/>
                <w:b/>
                <w:lang w:val="hr-HR" w:eastAsia="ar-SA"/>
              </w:rPr>
              <w:t>Pokrivenost uvoza izvozom (%)</w:t>
            </w:r>
          </w:p>
        </w:tc>
        <w:tc>
          <w:tcPr>
            <w:tcW w:w="1456" w:type="dxa"/>
            <w:shd w:val="clear" w:color="auto" w:fill="D9D9D9" w:themeFill="background1" w:themeFillShade="D9"/>
            <w:vAlign w:val="center"/>
          </w:tcPr>
          <w:p w:rsidR="00EE28B3" w:rsidRPr="000721B2" w:rsidRDefault="00EE28B3" w:rsidP="00EE353E">
            <w:pPr>
              <w:suppressAutoHyphens/>
              <w:spacing w:before="20" w:after="20"/>
              <w:jc w:val="center"/>
              <w:rPr>
                <w:rFonts w:eastAsia="Batang"/>
                <w:b/>
                <w:lang w:val="hr-HR" w:eastAsia="ar-SA"/>
              </w:rPr>
            </w:pPr>
            <w:r w:rsidRPr="000721B2">
              <w:rPr>
                <w:rFonts w:eastAsia="Batang"/>
                <w:b/>
                <w:lang w:val="hr-HR" w:eastAsia="ar-SA"/>
              </w:rPr>
              <w:t>Saldo robne razmjene (KM)</w:t>
            </w:r>
          </w:p>
        </w:tc>
      </w:tr>
      <w:tr w:rsidR="00EE28B3" w:rsidRPr="000721B2" w:rsidTr="00DC22A0">
        <w:trPr>
          <w:jc w:val="center"/>
        </w:trPr>
        <w:tc>
          <w:tcPr>
            <w:tcW w:w="1455" w:type="dxa"/>
          </w:tcPr>
          <w:p w:rsidR="00EE28B3" w:rsidRPr="000721B2" w:rsidRDefault="00EE28B3" w:rsidP="00EE353E">
            <w:pPr>
              <w:suppressAutoHyphens/>
              <w:spacing w:before="20" w:after="20"/>
              <w:rPr>
                <w:rFonts w:eastAsia="Batang"/>
                <w:lang w:val="hr-HR" w:eastAsia="ar-SA"/>
              </w:rPr>
            </w:pPr>
            <w:r w:rsidRPr="000721B2">
              <w:rPr>
                <w:rFonts w:eastAsia="Batang"/>
                <w:lang w:val="hr-HR" w:eastAsia="ar-SA"/>
              </w:rPr>
              <w:t>Banovići</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10.668</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0,10</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20.967</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0,33</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196,54</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10.299</w:t>
            </w:r>
          </w:p>
        </w:tc>
      </w:tr>
      <w:tr w:rsidR="00EE28B3" w:rsidRPr="000721B2" w:rsidTr="00DC22A0">
        <w:trPr>
          <w:jc w:val="center"/>
        </w:trPr>
        <w:tc>
          <w:tcPr>
            <w:tcW w:w="1455" w:type="dxa"/>
          </w:tcPr>
          <w:p w:rsidR="00EE28B3" w:rsidRPr="000721B2" w:rsidRDefault="00EE28B3" w:rsidP="00EE353E">
            <w:pPr>
              <w:suppressAutoHyphens/>
              <w:spacing w:before="20" w:after="20"/>
              <w:rPr>
                <w:rFonts w:eastAsia="Batang"/>
                <w:lang w:val="hr-HR" w:eastAsia="ar-SA"/>
              </w:rPr>
            </w:pPr>
            <w:r w:rsidRPr="000721B2">
              <w:rPr>
                <w:rFonts w:eastAsia="Batang"/>
                <w:lang w:val="hr-HR" w:eastAsia="ar-SA"/>
              </w:rPr>
              <w:t>Čelić</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4.100</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0,04</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2.858</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0,05</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69,71</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-1.242</w:t>
            </w:r>
          </w:p>
        </w:tc>
      </w:tr>
      <w:tr w:rsidR="00EE28B3" w:rsidRPr="000721B2" w:rsidTr="00DC22A0">
        <w:trPr>
          <w:jc w:val="center"/>
        </w:trPr>
        <w:tc>
          <w:tcPr>
            <w:tcW w:w="1455" w:type="dxa"/>
          </w:tcPr>
          <w:p w:rsidR="00EE28B3" w:rsidRPr="000721B2" w:rsidRDefault="00EE28B3" w:rsidP="00EE353E">
            <w:pPr>
              <w:suppressAutoHyphens/>
              <w:spacing w:before="20" w:after="20"/>
              <w:rPr>
                <w:rFonts w:eastAsia="Batang"/>
                <w:lang w:val="hr-HR" w:eastAsia="ar-SA"/>
              </w:rPr>
            </w:pPr>
            <w:r w:rsidRPr="000721B2">
              <w:rPr>
                <w:rFonts w:eastAsia="Batang"/>
                <w:lang w:val="hr-HR" w:eastAsia="ar-SA"/>
              </w:rPr>
              <w:t>Doboj-Istok</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22.657</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0,21</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11.497</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0,18</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50,74</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-11.160</w:t>
            </w:r>
          </w:p>
        </w:tc>
      </w:tr>
      <w:tr w:rsidR="00EE28B3" w:rsidRPr="000721B2" w:rsidTr="00DC22A0">
        <w:trPr>
          <w:jc w:val="center"/>
        </w:trPr>
        <w:tc>
          <w:tcPr>
            <w:tcW w:w="1455" w:type="dxa"/>
          </w:tcPr>
          <w:p w:rsidR="00EE28B3" w:rsidRPr="000721B2" w:rsidRDefault="00EE28B3" w:rsidP="00EE353E">
            <w:pPr>
              <w:suppressAutoHyphens/>
              <w:spacing w:before="20" w:after="20"/>
              <w:rPr>
                <w:rFonts w:eastAsia="Batang"/>
                <w:lang w:val="hr-HR" w:eastAsia="ar-SA"/>
              </w:rPr>
            </w:pPr>
            <w:r w:rsidRPr="000721B2">
              <w:rPr>
                <w:rFonts w:eastAsia="Batang"/>
                <w:lang w:val="hr-HR" w:eastAsia="ar-SA"/>
              </w:rPr>
              <w:t>Gračanica</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199.063</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1,82</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183.534</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2,93</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92,20</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-15.529</w:t>
            </w:r>
          </w:p>
        </w:tc>
      </w:tr>
      <w:tr w:rsidR="00EE28B3" w:rsidRPr="000721B2" w:rsidTr="00DC22A0">
        <w:trPr>
          <w:jc w:val="center"/>
        </w:trPr>
        <w:tc>
          <w:tcPr>
            <w:tcW w:w="1455" w:type="dxa"/>
          </w:tcPr>
          <w:p w:rsidR="00EE28B3" w:rsidRPr="000721B2" w:rsidRDefault="00EE28B3" w:rsidP="00EE353E">
            <w:pPr>
              <w:suppressAutoHyphens/>
              <w:spacing w:before="20" w:after="20"/>
              <w:rPr>
                <w:rFonts w:eastAsia="Batang"/>
                <w:lang w:val="hr-HR" w:eastAsia="ar-SA"/>
              </w:rPr>
            </w:pPr>
            <w:r w:rsidRPr="000721B2">
              <w:rPr>
                <w:rFonts w:eastAsia="Batang"/>
                <w:lang w:val="hr-HR" w:eastAsia="ar-SA"/>
              </w:rPr>
              <w:t>Gradačac</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312.028</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2,86</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309.915</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4,95</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99,32</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-2.113</w:t>
            </w:r>
          </w:p>
        </w:tc>
      </w:tr>
      <w:tr w:rsidR="00EE28B3" w:rsidRPr="00EE353E" w:rsidTr="00DC22A0">
        <w:trPr>
          <w:jc w:val="center"/>
        </w:trPr>
        <w:tc>
          <w:tcPr>
            <w:tcW w:w="1455" w:type="dxa"/>
            <w:shd w:val="clear" w:color="auto" w:fill="FFFFFF" w:themeFill="background1"/>
          </w:tcPr>
          <w:p w:rsidR="00EE28B3" w:rsidRPr="00EE353E" w:rsidRDefault="00EE28B3" w:rsidP="00EE353E">
            <w:pPr>
              <w:suppressAutoHyphens/>
              <w:spacing w:before="20" w:after="20"/>
              <w:rPr>
                <w:rFonts w:eastAsia="Batang"/>
                <w:b/>
                <w:lang w:val="hr-HR" w:eastAsia="ar-SA"/>
              </w:rPr>
            </w:pPr>
            <w:r w:rsidRPr="00EE353E">
              <w:rPr>
                <w:rFonts w:eastAsia="Batang"/>
                <w:b/>
                <w:lang w:val="hr-HR" w:eastAsia="ar-SA"/>
              </w:rPr>
              <w:t>Kalesija</w:t>
            </w:r>
          </w:p>
        </w:tc>
        <w:tc>
          <w:tcPr>
            <w:tcW w:w="1455" w:type="dxa"/>
            <w:shd w:val="clear" w:color="auto" w:fill="FFFFFF" w:themeFill="background1"/>
          </w:tcPr>
          <w:p w:rsidR="00EE28B3" w:rsidRPr="00EE353E" w:rsidRDefault="00EE28B3" w:rsidP="00EE353E">
            <w:pPr>
              <w:suppressAutoHyphens/>
              <w:spacing w:before="20" w:after="20"/>
              <w:jc w:val="center"/>
              <w:rPr>
                <w:rFonts w:eastAsia="Batang"/>
                <w:b/>
                <w:lang w:val="hr-HR" w:eastAsia="ar-SA"/>
              </w:rPr>
            </w:pPr>
            <w:r w:rsidRPr="00EE353E">
              <w:rPr>
                <w:rFonts w:eastAsia="Batang"/>
                <w:b/>
                <w:lang w:val="hr-HR" w:eastAsia="ar-SA"/>
              </w:rPr>
              <w:t>47.806</w:t>
            </w:r>
          </w:p>
        </w:tc>
        <w:tc>
          <w:tcPr>
            <w:tcW w:w="1455" w:type="dxa"/>
            <w:shd w:val="clear" w:color="auto" w:fill="FFFFFF" w:themeFill="background1"/>
          </w:tcPr>
          <w:p w:rsidR="00EE28B3" w:rsidRPr="00EE353E" w:rsidRDefault="00EE28B3" w:rsidP="00EE353E">
            <w:pPr>
              <w:suppressAutoHyphens/>
              <w:spacing w:before="20" w:after="20"/>
              <w:jc w:val="center"/>
              <w:rPr>
                <w:rFonts w:eastAsia="Batang"/>
                <w:b/>
                <w:lang w:val="hr-HR" w:eastAsia="ar-SA"/>
              </w:rPr>
            </w:pPr>
            <w:r w:rsidRPr="00EE353E">
              <w:rPr>
                <w:rFonts w:eastAsia="Batang"/>
                <w:b/>
                <w:lang w:val="hr-HR" w:eastAsia="ar-SA"/>
              </w:rPr>
              <w:t>0,44</w:t>
            </w:r>
          </w:p>
        </w:tc>
        <w:tc>
          <w:tcPr>
            <w:tcW w:w="1455" w:type="dxa"/>
            <w:shd w:val="clear" w:color="auto" w:fill="FFFFFF" w:themeFill="background1"/>
          </w:tcPr>
          <w:p w:rsidR="00EE28B3" w:rsidRPr="00EE353E" w:rsidRDefault="00EE28B3" w:rsidP="00EE353E">
            <w:pPr>
              <w:suppressAutoHyphens/>
              <w:spacing w:before="20" w:after="20"/>
              <w:jc w:val="center"/>
              <w:rPr>
                <w:rFonts w:eastAsia="Batang"/>
                <w:b/>
                <w:lang w:val="hr-HR" w:eastAsia="ar-SA"/>
              </w:rPr>
            </w:pPr>
            <w:r w:rsidRPr="00EE353E">
              <w:rPr>
                <w:rFonts w:eastAsia="Batang"/>
                <w:b/>
                <w:lang w:val="hr-HR" w:eastAsia="ar-SA"/>
              </w:rPr>
              <w:t>48.600</w:t>
            </w:r>
          </w:p>
        </w:tc>
        <w:tc>
          <w:tcPr>
            <w:tcW w:w="1456" w:type="dxa"/>
            <w:shd w:val="clear" w:color="auto" w:fill="FFFFFF" w:themeFill="background1"/>
          </w:tcPr>
          <w:p w:rsidR="00EE28B3" w:rsidRPr="00EE353E" w:rsidRDefault="00EE28B3" w:rsidP="00EE353E">
            <w:pPr>
              <w:suppressAutoHyphens/>
              <w:spacing w:before="20" w:after="20"/>
              <w:jc w:val="center"/>
              <w:rPr>
                <w:rFonts w:eastAsia="Batang"/>
                <w:b/>
                <w:lang w:val="hr-HR" w:eastAsia="ar-SA"/>
              </w:rPr>
            </w:pPr>
            <w:r w:rsidRPr="00EE353E">
              <w:rPr>
                <w:rFonts w:eastAsia="Batang"/>
                <w:b/>
                <w:lang w:val="hr-HR" w:eastAsia="ar-SA"/>
              </w:rPr>
              <w:t>0,78</w:t>
            </w:r>
          </w:p>
        </w:tc>
        <w:tc>
          <w:tcPr>
            <w:tcW w:w="1456" w:type="dxa"/>
            <w:shd w:val="clear" w:color="auto" w:fill="FFFFFF" w:themeFill="background1"/>
          </w:tcPr>
          <w:p w:rsidR="00EE28B3" w:rsidRPr="00EE353E" w:rsidRDefault="00EE28B3" w:rsidP="00EE353E">
            <w:pPr>
              <w:suppressAutoHyphens/>
              <w:spacing w:before="20" w:after="20"/>
              <w:jc w:val="center"/>
              <w:rPr>
                <w:rFonts w:eastAsia="Batang"/>
                <w:b/>
                <w:lang w:val="hr-HR" w:eastAsia="ar-SA"/>
              </w:rPr>
            </w:pPr>
            <w:r w:rsidRPr="00EE353E">
              <w:rPr>
                <w:rFonts w:eastAsia="Batang"/>
                <w:b/>
                <w:lang w:val="hr-HR" w:eastAsia="ar-SA"/>
              </w:rPr>
              <w:t>101,66</w:t>
            </w:r>
          </w:p>
        </w:tc>
        <w:tc>
          <w:tcPr>
            <w:tcW w:w="1456" w:type="dxa"/>
            <w:shd w:val="clear" w:color="auto" w:fill="FFFFFF" w:themeFill="background1"/>
          </w:tcPr>
          <w:p w:rsidR="00EE28B3" w:rsidRPr="00EE353E" w:rsidRDefault="00EE28B3" w:rsidP="00EE353E">
            <w:pPr>
              <w:suppressAutoHyphens/>
              <w:spacing w:before="20" w:after="20"/>
              <w:jc w:val="center"/>
              <w:rPr>
                <w:rFonts w:eastAsia="Batang"/>
                <w:b/>
                <w:lang w:val="hr-HR" w:eastAsia="ar-SA"/>
              </w:rPr>
            </w:pPr>
            <w:r w:rsidRPr="00EE353E">
              <w:rPr>
                <w:rFonts w:eastAsia="Batang"/>
                <w:b/>
                <w:lang w:val="hr-HR" w:eastAsia="ar-SA"/>
              </w:rPr>
              <w:t>794</w:t>
            </w:r>
          </w:p>
        </w:tc>
      </w:tr>
      <w:tr w:rsidR="00EE28B3" w:rsidRPr="000721B2" w:rsidTr="00DC22A0">
        <w:trPr>
          <w:jc w:val="center"/>
        </w:trPr>
        <w:tc>
          <w:tcPr>
            <w:tcW w:w="1455" w:type="dxa"/>
          </w:tcPr>
          <w:p w:rsidR="00EE28B3" w:rsidRPr="000721B2" w:rsidRDefault="00EE28B3" w:rsidP="00EE353E">
            <w:pPr>
              <w:suppressAutoHyphens/>
              <w:spacing w:before="20" w:after="20"/>
              <w:rPr>
                <w:rFonts w:eastAsia="Batang"/>
                <w:lang w:val="hr-HR" w:eastAsia="ar-SA"/>
              </w:rPr>
            </w:pPr>
            <w:r w:rsidRPr="000721B2">
              <w:rPr>
                <w:rFonts w:eastAsia="Batang"/>
                <w:lang w:val="hr-HR" w:eastAsia="ar-SA"/>
              </w:rPr>
              <w:t>Kladanj</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8.424</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0,08</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22.635</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0,36</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268,70</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14.211</w:t>
            </w:r>
          </w:p>
        </w:tc>
      </w:tr>
      <w:tr w:rsidR="00EE28B3" w:rsidRPr="000721B2" w:rsidTr="00DC22A0">
        <w:trPr>
          <w:jc w:val="center"/>
        </w:trPr>
        <w:tc>
          <w:tcPr>
            <w:tcW w:w="1455" w:type="dxa"/>
          </w:tcPr>
          <w:p w:rsidR="00EE28B3" w:rsidRPr="000721B2" w:rsidRDefault="00EE28B3" w:rsidP="00EE353E">
            <w:pPr>
              <w:suppressAutoHyphens/>
              <w:spacing w:before="20" w:after="20"/>
              <w:rPr>
                <w:rFonts w:eastAsia="Batang"/>
                <w:lang w:val="hr-HR" w:eastAsia="ar-SA"/>
              </w:rPr>
            </w:pPr>
            <w:r w:rsidRPr="000721B2">
              <w:rPr>
                <w:rFonts w:eastAsia="Batang"/>
                <w:lang w:val="hr-HR" w:eastAsia="ar-SA"/>
              </w:rPr>
              <w:t>Lukavac</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319.194</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2,92</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436.447</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6,97</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136,73</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117.253</w:t>
            </w:r>
          </w:p>
        </w:tc>
      </w:tr>
      <w:tr w:rsidR="00EE28B3" w:rsidRPr="000721B2" w:rsidTr="00DC22A0">
        <w:trPr>
          <w:jc w:val="center"/>
        </w:trPr>
        <w:tc>
          <w:tcPr>
            <w:tcW w:w="1455" w:type="dxa"/>
          </w:tcPr>
          <w:p w:rsidR="00EE28B3" w:rsidRPr="000721B2" w:rsidRDefault="00EE28B3" w:rsidP="00EE353E">
            <w:pPr>
              <w:suppressAutoHyphens/>
              <w:spacing w:before="20" w:after="20"/>
              <w:rPr>
                <w:rFonts w:eastAsia="Batang"/>
                <w:lang w:val="hr-HR" w:eastAsia="ar-SA"/>
              </w:rPr>
            </w:pPr>
            <w:r w:rsidRPr="000721B2">
              <w:rPr>
                <w:rFonts w:eastAsia="Batang"/>
                <w:lang w:val="hr-HR" w:eastAsia="ar-SA"/>
              </w:rPr>
              <w:t>Sapna</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543</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0,00</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24</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0,00</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4,42</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-519</w:t>
            </w:r>
          </w:p>
        </w:tc>
      </w:tr>
      <w:tr w:rsidR="00EE28B3" w:rsidRPr="000721B2" w:rsidTr="00DC22A0">
        <w:trPr>
          <w:jc w:val="center"/>
        </w:trPr>
        <w:tc>
          <w:tcPr>
            <w:tcW w:w="1455" w:type="dxa"/>
          </w:tcPr>
          <w:p w:rsidR="00EE28B3" w:rsidRPr="000721B2" w:rsidRDefault="00EE28B3" w:rsidP="00EE353E">
            <w:pPr>
              <w:suppressAutoHyphens/>
              <w:spacing w:before="20" w:after="20"/>
              <w:rPr>
                <w:rFonts w:eastAsia="Batang"/>
                <w:lang w:val="hr-HR" w:eastAsia="ar-SA"/>
              </w:rPr>
            </w:pPr>
            <w:r w:rsidRPr="000721B2">
              <w:rPr>
                <w:rFonts w:eastAsia="Batang"/>
                <w:lang w:val="hr-HR" w:eastAsia="ar-SA"/>
              </w:rPr>
              <w:t>Srebrenik</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79.151</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0,72</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43.847</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0,70</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55,40</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-35.304</w:t>
            </w:r>
          </w:p>
        </w:tc>
      </w:tr>
      <w:tr w:rsidR="00EE28B3" w:rsidRPr="000721B2" w:rsidTr="00DC22A0">
        <w:trPr>
          <w:jc w:val="center"/>
        </w:trPr>
        <w:tc>
          <w:tcPr>
            <w:tcW w:w="1455" w:type="dxa"/>
          </w:tcPr>
          <w:p w:rsidR="00EE28B3" w:rsidRPr="000721B2" w:rsidRDefault="00EE28B3" w:rsidP="00EE353E">
            <w:pPr>
              <w:suppressAutoHyphens/>
              <w:spacing w:before="20" w:after="20"/>
              <w:rPr>
                <w:rFonts w:eastAsia="Batang"/>
                <w:lang w:val="hr-HR" w:eastAsia="ar-SA"/>
              </w:rPr>
            </w:pPr>
            <w:r w:rsidRPr="000721B2">
              <w:rPr>
                <w:rFonts w:eastAsia="Batang"/>
                <w:lang w:val="hr-HR" w:eastAsia="ar-SA"/>
              </w:rPr>
              <w:t>Teočak</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615</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0,01</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102</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0,00</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16,59</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-513</w:t>
            </w:r>
          </w:p>
        </w:tc>
      </w:tr>
      <w:tr w:rsidR="00EE28B3" w:rsidRPr="000721B2" w:rsidTr="00DC22A0">
        <w:trPr>
          <w:jc w:val="center"/>
        </w:trPr>
        <w:tc>
          <w:tcPr>
            <w:tcW w:w="1455" w:type="dxa"/>
          </w:tcPr>
          <w:p w:rsidR="00EE28B3" w:rsidRPr="000721B2" w:rsidRDefault="00EE28B3" w:rsidP="00EE353E">
            <w:pPr>
              <w:suppressAutoHyphens/>
              <w:spacing w:before="20" w:after="20"/>
              <w:rPr>
                <w:rFonts w:eastAsia="Batang"/>
                <w:lang w:val="hr-HR" w:eastAsia="ar-SA"/>
              </w:rPr>
            </w:pPr>
            <w:r w:rsidRPr="000721B2">
              <w:rPr>
                <w:rFonts w:eastAsia="Batang"/>
                <w:lang w:val="hr-HR" w:eastAsia="ar-SA"/>
              </w:rPr>
              <w:t>Tuzla</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347.338</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3,18</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109.967</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1,76</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31,66</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-237.371</w:t>
            </w:r>
          </w:p>
        </w:tc>
      </w:tr>
      <w:tr w:rsidR="00EE28B3" w:rsidRPr="000721B2" w:rsidTr="00DC22A0">
        <w:trPr>
          <w:jc w:val="center"/>
        </w:trPr>
        <w:tc>
          <w:tcPr>
            <w:tcW w:w="1455" w:type="dxa"/>
          </w:tcPr>
          <w:p w:rsidR="00EE28B3" w:rsidRPr="000721B2" w:rsidRDefault="00EE28B3" w:rsidP="00EE353E">
            <w:pPr>
              <w:suppressAutoHyphens/>
              <w:spacing w:before="20" w:after="20"/>
              <w:rPr>
                <w:rFonts w:eastAsia="Batang"/>
                <w:lang w:val="hr-HR" w:eastAsia="ar-SA"/>
              </w:rPr>
            </w:pPr>
            <w:r w:rsidRPr="000721B2">
              <w:rPr>
                <w:rFonts w:eastAsia="Batang"/>
                <w:lang w:val="hr-HR" w:eastAsia="ar-SA"/>
              </w:rPr>
              <w:t>Živinice</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195.131</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1,79</w:t>
            </w:r>
          </w:p>
        </w:tc>
        <w:tc>
          <w:tcPr>
            <w:tcW w:w="1455"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78.690</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1,26</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40,33</w:t>
            </w:r>
          </w:p>
        </w:tc>
        <w:tc>
          <w:tcPr>
            <w:tcW w:w="1456" w:type="dxa"/>
          </w:tcPr>
          <w:p w:rsidR="00EE28B3" w:rsidRPr="000721B2" w:rsidRDefault="00EE28B3" w:rsidP="00EE353E">
            <w:pPr>
              <w:suppressAutoHyphens/>
              <w:spacing w:before="20" w:after="20"/>
              <w:jc w:val="center"/>
              <w:rPr>
                <w:rFonts w:eastAsia="Batang"/>
                <w:lang w:val="hr-HR" w:eastAsia="ar-SA"/>
              </w:rPr>
            </w:pPr>
            <w:r w:rsidRPr="000721B2">
              <w:rPr>
                <w:rFonts w:eastAsia="Batang"/>
                <w:lang w:val="hr-HR" w:eastAsia="ar-SA"/>
              </w:rPr>
              <w:t>-116.441</w:t>
            </w:r>
          </w:p>
        </w:tc>
      </w:tr>
      <w:tr w:rsidR="00EE28B3" w:rsidRPr="000721B2" w:rsidTr="00B01C90">
        <w:trPr>
          <w:jc w:val="center"/>
        </w:trPr>
        <w:tc>
          <w:tcPr>
            <w:tcW w:w="1455" w:type="dxa"/>
            <w:shd w:val="clear" w:color="auto" w:fill="D9D9D9" w:themeFill="background1" w:themeFillShade="D9"/>
          </w:tcPr>
          <w:p w:rsidR="00EE28B3" w:rsidRPr="000721B2" w:rsidRDefault="00EE28B3" w:rsidP="00EE353E">
            <w:pPr>
              <w:suppressAutoHyphens/>
              <w:spacing w:before="20" w:after="20"/>
              <w:rPr>
                <w:rFonts w:eastAsia="Batang"/>
                <w:b/>
                <w:lang w:val="hr-HR" w:eastAsia="ar-SA"/>
              </w:rPr>
            </w:pPr>
            <w:r w:rsidRPr="000721B2">
              <w:rPr>
                <w:rFonts w:eastAsia="Batang"/>
                <w:b/>
                <w:lang w:val="hr-HR" w:eastAsia="ar-SA"/>
              </w:rPr>
              <w:t>TK</w:t>
            </w:r>
          </w:p>
        </w:tc>
        <w:tc>
          <w:tcPr>
            <w:tcW w:w="1455" w:type="dxa"/>
            <w:shd w:val="clear" w:color="auto" w:fill="D9D9D9" w:themeFill="background1" w:themeFillShade="D9"/>
          </w:tcPr>
          <w:p w:rsidR="00EE28B3" w:rsidRPr="000721B2" w:rsidRDefault="00EE28B3" w:rsidP="00EE353E">
            <w:pPr>
              <w:suppressAutoHyphens/>
              <w:spacing w:before="20" w:after="20"/>
              <w:jc w:val="center"/>
              <w:rPr>
                <w:rFonts w:eastAsia="Batang"/>
                <w:b/>
                <w:lang w:val="hr-HR" w:eastAsia="ar-SA"/>
              </w:rPr>
            </w:pPr>
            <w:r w:rsidRPr="000721B2">
              <w:rPr>
                <w:rFonts w:eastAsia="Batang"/>
                <w:b/>
                <w:lang w:val="hr-HR" w:eastAsia="ar-SA"/>
              </w:rPr>
              <w:t>1.546.718</w:t>
            </w:r>
          </w:p>
        </w:tc>
        <w:tc>
          <w:tcPr>
            <w:tcW w:w="1455" w:type="dxa"/>
            <w:shd w:val="clear" w:color="auto" w:fill="D9D9D9" w:themeFill="background1" w:themeFillShade="D9"/>
          </w:tcPr>
          <w:p w:rsidR="00EE28B3" w:rsidRPr="000721B2" w:rsidRDefault="00EE28B3" w:rsidP="00EE353E">
            <w:pPr>
              <w:suppressAutoHyphens/>
              <w:spacing w:before="20" w:after="20"/>
              <w:jc w:val="center"/>
              <w:rPr>
                <w:rFonts w:eastAsia="Batang"/>
                <w:b/>
                <w:lang w:val="hr-HR" w:eastAsia="ar-SA"/>
              </w:rPr>
            </w:pPr>
            <w:r w:rsidRPr="000721B2">
              <w:rPr>
                <w:rFonts w:eastAsia="Batang"/>
                <w:b/>
                <w:lang w:val="hr-HR" w:eastAsia="ar-SA"/>
              </w:rPr>
              <w:t>14,16</w:t>
            </w:r>
          </w:p>
        </w:tc>
        <w:tc>
          <w:tcPr>
            <w:tcW w:w="1455" w:type="dxa"/>
            <w:shd w:val="clear" w:color="auto" w:fill="D9D9D9" w:themeFill="background1" w:themeFillShade="D9"/>
          </w:tcPr>
          <w:p w:rsidR="00EE28B3" w:rsidRPr="000721B2" w:rsidRDefault="00EE28B3" w:rsidP="00EE353E">
            <w:pPr>
              <w:suppressAutoHyphens/>
              <w:spacing w:before="20" w:after="20"/>
              <w:jc w:val="center"/>
              <w:rPr>
                <w:rFonts w:eastAsia="Batang"/>
                <w:b/>
                <w:lang w:val="hr-HR" w:eastAsia="ar-SA"/>
              </w:rPr>
            </w:pPr>
            <w:r w:rsidRPr="000721B2">
              <w:rPr>
                <w:rFonts w:eastAsia="Batang"/>
                <w:b/>
                <w:lang w:val="hr-HR" w:eastAsia="ar-SA"/>
              </w:rPr>
              <w:t>1.269.083</w:t>
            </w:r>
          </w:p>
        </w:tc>
        <w:tc>
          <w:tcPr>
            <w:tcW w:w="1456" w:type="dxa"/>
            <w:shd w:val="clear" w:color="auto" w:fill="D9D9D9" w:themeFill="background1" w:themeFillShade="D9"/>
          </w:tcPr>
          <w:p w:rsidR="00EE28B3" w:rsidRPr="000721B2" w:rsidRDefault="00EE28B3" w:rsidP="00EE353E">
            <w:pPr>
              <w:suppressAutoHyphens/>
              <w:spacing w:before="20" w:after="20"/>
              <w:jc w:val="center"/>
              <w:rPr>
                <w:rFonts w:eastAsia="Batang"/>
                <w:b/>
                <w:lang w:val="hr-HR" w:eastAsia="ar-SA"/>
              </w:rPr>
            </w:pPr>
            <w:r w:rsidRPr="000721B2">
              <w:rPr>
                <w:rFonts w:eastAsia="Batang"/>
                <w:b/>
                <w:lang w:val="hr-HR" w:eastAsia="ar-SA"/>
              </w:rPr>
              <w:t>20,27</w:t>
            </w:r>
          </w:p>
        </w:tc>
        <w:tc>
          <w:tcPr>
            <w:tcW w:w="1456" w:type="dxa"/>
            <w:shd w:val="clear" w:color="auto" w:fill="D9D9D9" w:themeFill="background1" w:themeFillShade="D9"/>
          </w:tcPr>
          <w:p w:rsidR="00EE28B3" w:rsidRPr="000721B2" w:rsidRDefault="00EE28B3" w:rsidP="00EE353E">
            <w:pPr>
              <w:suppressAutoHyphens/>
              <w:spacing w:before="20" w:after="20"/>
              <w:jc w:val="center"/>
              <w:rPr>
                <w:rFonts w:eastAsia="Batang"/>
                <w:b/>
                <w:lang w:val="hr-HR" w:eastAsia="ar-SA"/>
              </w:rPr>
            </w:pPr>
            <w:r w:rsidRPr="000721B2">
              <w:rPr>
                <w:rFonts w:eastAsia="Batang"/>
                <w:b/>
                <w:lang w:val="hr-HR" w:eastAsia="ar-SA"/>
              </w:rPr>
              <w:t>82,05</w:t>
            </w:r>
          </w:p>
        </w:tc>
        <w:tc>
          <w:tcPr>
            <w:tcW w:w="1456" w:type="dxa"/>
            <w:shd w:val="clear" w:color="auto" w:fill="D9D9D9" w:themeFill="background1" w:themeFillShade="D9"/>
          </w:tcPr>
          <w:p w:rsidR="00EE28B3" w:rsidRPr="000721B2" w:rsidRDefault="00EE28B3" w:rsidP="00EE353E">
            <w:pPr>
              <w:suppressAutoHyphens/>
              <w:spacing w:before="20" w:after="20"/>
              <w:jc w:val="center"/>
              <w:rPr>
                <w:rFonts w:eastAsia="Batang"/>
                <w:b/>
                <w:lang w:val="hr-HR" w:eastAsia="ar-SA"/>
              </w:rPr>
            </w:pPr>
            <w:r w:rsidRPr="000721B2">
              <w:rPr>
                <w:rFonts w:eastAsia="Batang"/>
                <w:b/>
                <w:lang w:val="hr-HR" w:eastAsia="ar-SA"/>
              </w:rPr>
              <w:t>-277.635</w:t>
            </w:r>
          </w:p>
        </w:tc>
      </w:tr>
    </w:tbl>
    <w:p w:rsidR="00232A5A" w:rsidRDefault="00701D30" w:rsidP="00092E44">
      <w:pPr>
        <w:pStyle w:val="Izvorpodataka"/>
      </w:pPr>
      <w:r w:rsidRPr="00232A5A">
        <w:t>Izvor: Uprava za indirektno oporezivanje BIH, posredovanjem Agencije za statistiku BIH</w:t>
      </w:r>
    </w:p>
    <w:p w:rsidR="00203161" w:rsidRPr="00203161" w:rsidRDefault="00203161" w:rsidP="00AD59CB">
      <w:pPr>
        <w:pStyle w:val="Heading4"/>
        <w:rPr>
          <w:lang w:val="hr-HR" w:eastAsia="ar-SA"/>
        </w:rPr>
      </w:pPr>
      <w:bookmarkStart w:id="29" w:name="_Toc500140008"/>
      <w:r w:rsidRPr="00203161">
        <w:rPr>
          <w:lang w:val="hr-HR" w:eastAsia="ar-SA"/>
        </w:rPr>
        <w:lastRenderedPageBreak/>
        <w:t>Poljoprivreda</w:t>
      </w:r>
      <w:bookmarkEnd w:id="29"/>
    </w:p>
    <w:p w:rsidR="00130A20" w:rsidRDefault="00203161" w:rsidP="00750FA5">
      <w:pPr>
        <w:rPr>
          <w:lang w:val="hr-HR" w:eastAsia="ar-SA"/>
        </w:rPr>
      </w:pPr>
      <w:r w:rsidRPr="005F5DCD">
        <w:rPr>
          <w:lang w:val="hr-HR" w:eastAsia="ar-SA"/>
        </w:rPr>
        <w:t>Ukupna površina poljoprivrednog zemljišta na području općine Kalesija iznosi 10.035 ha, od čega je površina obradivog poljoprivrednog zemljišta 9.385 ha, odnosno 93,5%. S aspekta kvaliteta poljoprivrednog zemljišta, najviše su zastupljena zemljišta IV,</w:t>
      </w:r>
      <w:r>
        <w:rPr>
          <w:lang w:val="hr-HR" w:eastAsia="ar-SA"/>
        </w:rPr>
        <w:t xml:space="preserve"> </w:t>
      </w:r>
      <w:r w:rsidRPr="005F5DCD">
        <w:rPr>
          <w:lang w:val="hr-HR" w:eastAsia="ar-SA"/>
        </w:rPr>
        <w:t>V i VI bonitetne klase sa 70%</w:t>
      </w:r>
      <w:r>
        <w:rPr>
          <w:lang w:val="hr-HR" w:eastAsia="ar-SA"/>
        </w:rPr>
        <w:t xml:space="preserve">, </w:t>
      </w:r>
      <w:r w:rsidRPr="005F5DCD">
        <w:rPr>
          <w:lang w:val="hr-HR" w:eastAsia="ar-SA"/>
        </w:rPr>
        <w:t>dok je u</w:t>
      </w:r>
      <w:r>
        <w:rPr>
          <w:lang w:val="hr-HR" w:eastAsia="ar-SA"/>
        </w:rPr>
        <w:t xml:space="preserve">dio najkvalitetnijeg zemljišta </w:t>
      </w:r>
      <w:r w:rsidRPr="005F5DCD">
        <w:rPr>
          <w:lang w:val="hr-HR" w:eastAsia="ar-SA"/>
        </w:rPr>
        <w:t>o</w:t>
      </w:r>
      <w:r>
        <w:rPr>
          <w:lang w:val="hr-HR" w:eastAsia="ar-SA"/>
        </w:rPr>
        <w:t>d I-III bonitetne kategorije 30</w:t>
      </w:r>
      <w:r w:rsidRPr="005F5DCD">
        <w:rPr>
          <w:lang w:val="hr-HR" w:eastAsia="ar-SA"/>
        </w:rPr>
        <w:t>%</w:t>
      </w:r>
      <w:r>
        <w:rPr>
          <w:lang w:val="hr-HR" w:eastAsia="ar-SA"/>
        </w:rPr>
        <w:t>, š</w:t>
      </w:r>
      <w:r w:rsidRPr="005F5DCD">
        <w:rPr>
          <w:lang w:val="hr-HR" w:eastAsia="ar-SA"/>
        </w:rPr>
        <w:t>to zahtijeva provođenje agrotehničkih i hidrotehničkih mjera u cilju poboljšanja proizvodnih sposobnosti zemljišta.</w:t>
      </w:r>
      <w:r>
        <w:rPr>
          <w:lang w:val="hr-HR" w:eastAsia="ar-SA"/>
        </w:rPr>
        <w:t xml:space="preserve"> </w:t>
      </w:r>
      <w:r w:rsidR="00130A20" w:rsidRPr="005F5DCD">
        <w:rPr>
          <w:lang w:val="hr-HR" w:eastAsia="ar-SA"/>
        </w:rPr>
        <w:t xml:space="preserve">Struktura zemljišta općine Kalesija pokazuje da postoje značajne mogućnosti za razvoj poljoprivredne djelatnosti, posebno u područjima ratarstva i </w:t>
      </w:r>
      <w:r w:rsidR="00130A20" w:rsidRPr="00EE353E">
        <w:rPr>
          <w:lang w:val="hr-HR" w:eastAsia="ar-SA"/>
        </w:rPr>
        <w:t>voćarstva (</w:t>
      </w:r>
      <w:r w:rsidR="00B80D70" w:rsidRPr="00EE353E">
        <w:rPr>
          <w:lang w:val="hr-HR" w:eastAsia="ar-SA"/>
        </w:rPr>
        <w:t>grafikon 1</w:t>
      </w:r>
      <w:r w:rsidR="00EE353E" w:rsidRPr="00EE353E">
        <w:rPr>
          <w:lang w:val="hr-HR" w:eastAsia="ar-SA"/>
        </w:rPr>
        <w:t>1</w:t>
      </w:r>
      <w:r w:rsidR="00130A20" w:rsidRPr="00EE353E">
        <w:rPr>
          <w:lang w:val="hr-HR" w:eastAsia="ar-SA"/>
        </w:rPr>
        <w:t>).</w:t>
      </w:r>
      <w:r w:rsidR="00130A20" w:rsidRPr="005F5DCD">
        <w:rPr>
          <w:lang w:val="hr-HR" w:eastAsia="ar-SA"/>
        </w:rPr>
        <w:t xml:space="preserve"> </w:t>
      </w:r>
    </w:p>
    <w:p w:rsidR="00130A20" w:rsidRPr="005F5DCD" w:rsidRDefault="00130A20" w:rsidP="00194A79">
      <w:pPr>
        <w:pStyle w:val="Pitcures"/>
        <w:rPr>
          <w:lang w:eastAsia="ar-SA"/>
        </w:rPr>
      </w:pPr>
      <w:r w:rsidRPr="005F5DCD">
        <w:drawing>
          <wp:inline distT="0" distB="0" distL="0" distR="0" wp14:anchorId="54265CD0" wp14:editId="5EC37E06">
            <wp:extent cx="5077409" cy="2077517"/>
            <wp:effectExtent l="0" t="0" r="9525" b="1841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F6585" w:rsidRPr="00680651" w:rsidRDefault="003F6585" w:rsidP="00AD59CB">
      <w:pPr>
        <w:pStyle w:val="GrafiTabele"/>
      </w:pPr>
      <w:r w:rsidRPr="00680651">
        <w:t>Grafikon 1</w:t>
      </w:r>
      <w:r w:rsidR="00EE353E">
        <w:t>1</w:t>
      </w:r>
      <w:r w:rsidRPr="00680651">
        <w:t>: Struktura zemljišta na području općine Kalesija, 2016. godina</w:t>
      </w:r>
    </w:p>
    <w:p w:rsidR="00130A20" w:rsidRPr="00680651" w:rsidRDefault="00BC7C4C" w:rsidP="00AD59CB">
      <w:pPr>
        <w:pStyle w:val="Izvorpodataka"/>
      </w:pPr>
      <w:r w:rsidRPr="00680651">
        <w:t>Izvor:</w:t>
      </w:r>
      <w:r w:rsidR="00B148C9" w:rsidRPr="00680651">
        <w:t xml:space="preserve"> Indeks socioekonomskog razvoja</w:t>
      </w:r>
      <w:r w:rsidR="00D84C01" w:rsidRPr="00680651">
        <w:t xml:space="preserve"> FBiH, Federalni zavod za programiranje razvoja</w:t>
      </w:r>
      <w:r w:rsidR="00BA2129" w:rsidRPr="00680651">
        <w:t xml:space="preserve"> i podaci Općine Kalesija</w:t>
      </w:r>
    </w:p>
    <w:p w:rsidR="00BA2129" w:rsidRPr="003F6585" w:rsidRDefault="003F6585" w:rsidP="003019A8">
      <w:pPr>
        <w:rPr>
          <w:lang w:val="hr-HR" w:eastAsia="ar-SA"/>
        </w:rPr>
      </w:pPr>
      <w:r w:rsidRPr="005F5DCD">
        <w:rPr>
          <w:lang w:val="hr-HR" w:eastAsia="ar-SA"/>
        </w:rPr>
        <w:t>Ako kao indikator sposobnosti zajednice da proizvede hranu za svoje stanovništvo uzmemo minimalnih 0,17 ha obradivog zemljišta po glavi stanovnika, vidimo da raspoloživo obradivo zemljište po glavi stanovnika na području općine Kalesije</w:t>
      </w:r>
      <w:r>
        <w:rPr>
          <w:lang w:val="hr-HR" w:eastAsia="ar-SA"/>
        </w:rPr>
        <w:t xml:space="preserve"> (0.322 ha)</w:t>
      </w:r>
      <w:r w:rsidRPr="005F5DCD">
        <w:rPr>
          <w:lang w:val="hr-HR" w:eastAsia="ar-SA"/>
        </w:rPr>
        <w:t xml:space="preserve"> skoro dva puta prelazi definirani potrebni minimum</w:t>
      </w:r>
      <w:r w:rsidR="00EE353E">
        <w:rPr>
          <w:lang w:val="hr-HR" w:eastAsia="ar-SA"/>
        </w:rPr>
        <w:t xml:space="preserve"> (grafikon 12)</w:t>
      </w:r>
      <w:r w:rsidRPr="005F5DCD">
        <w:rPr>
          <w:lang w:val="hr-HR" w:eastAsia="ar-SA"/>
        </w:rPr>
        <w:t xml:space="preserve">. Također vidimo da u poređenju s drugim općinama TK općina Kalesija ima najveći odnos obradivog </w:t>
      </w:r>
      <w:r>
        <w:rPr>
          <w:lang w:val="hr-HR" w:eastAsia="ar-SA"/>
        </w:rPr>
        <w:t>zemljišta po glavi stanovnika.</w:t>
      </w:r>
    </w:p>
    <w:p w:rsidR="00130A20" w:rsidRPr="005F5DCD" w:rsidRDefault="00130A20" w:rsidP="00194A79">
      <w:pPr>
        <w:pStyle w:val="Pitcures"/>
        <w:rPr>
          <w:lang w:eastAsia="ar-SA"/>
        </w:rPr>
      </w:pPr>
      <w:r w:rsidRPr="005F5DCD">
        <w:drawing>
          <wp:inline distT="0" distB="0" distL="0" distR="0" wp14:anchorId="0CC6A857" wp14:editId="3C34C442">
            <wp:extent cx="5571938" cy="2282343"/>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5842" cy="2357673"/>
                    </a:xfrm>
                    <a:prstGeom prst="rect">
                      <a:avLst/>
                    </a:prstGeom>
                    <a:solidFill>
                      <a:srgbClr val="FFFFFF"/>
                    </a:solidFill>
                    <a:ln>
                      <a:noFill/>
                    </a:ln>
                  </pic:spPr>
                </pic:pic>
              </a:graphicData>
            </a:graphic>
          </wp:inline>
        </w:drawing>
      </w:r>
    </w:p>
    <w:p w:rsidR="003F6585" w:rsidRPr="00B148C9" w:rsidRDefault="003F6585" w:rsidP="00AD59CB">
      <w:pPr>
        <w:pStyle w:val="GrafiTabele"/>
      </w:pPr>
      <w:r w:rsidRPr="00B148C9">
        <w:t>Grafikon 1</w:t>
      </w:r>
      <w:r w:rsidR="00EE353E">
        <w:t>2</w:t>
      </w:r>
      <w:r w:rsidRPr="00B148C9">
        <w:t xml:space="preserve">: Raspoloživo obradivo poljoprivredno zemljište (ha) po glavi stanovnika </w:t>
      </w:r>
    </w:p>
    <w:p w:rsidR="00130A20" w:rsidRDefault="00BC7C4C" w:rsidP="00AD59CB">
      <w:pPr>
        <w:pStyle w:val="Izvorpodataka"/>
      </w:pPr>
      <w:r w:rsidRPr="003F6585">
        <w:t>Izvor:</w:t>
      </w:r>
      <w:r w:rsidR="00B148C9" w:rsidRPr="003F6585">
        <w:t xml:space="preserve"> </w:t>
      </w:r>
      <w:r w:rsidR="00FA6527" w:rsidRPr="003F6585">
        <w:t>Indeks socioekonomskog razvoja FBiH, Federalni zavod za programiranje razvoja - mart</w:t>
      </w:r>
      <w:r w:rsidR="00EC1EFE">
        <w:t xml:space="preserve"> 2005. i podaci Općine Kalesija</w:t>
      </w:r>
    </w:p>
    <w:p w:rsidR="00194A79" w:rsidRPr="003019A8" w:rsidRDefault="00EC1EFE" w:rsidP="003019A8">
      <w:pPr>
        <w:rPr>
          <w:lang w:val="hr-HR" w:eastAsia="ar-SA"/>
        </w:rPr>
      </w:pPr>
      <w:r w:rsidRPr="005F5DCD">
        <w:rPr>
          <w:lang w:val="hr-HR" w:eastAsia="ar-SA"/>
        </w:rPr>
        <w:t>Međutim, kao što je slučaj u većini općina u BiH, poljoprivredni posjedi su usitnjeni, što onemogućava intenzivnu poljoprivrednu proizvodnju za tržište</w:t>
      </w:r>
      <w:r w:rsidR="00EE353E">
        <w:rPr>
          <w:lang w:val="hr-HR" w:eastAsia="ar-SA"/>
        </w:rPr>
        <w:t xml:space="preserve"> (grafikon 13)</w:t>
      </w:r>
      <w:r w:rsidRPr="005F5DCD">
        <w:rPr>
          <w:lang w:val="hr-HR" w:eastAsia="ar-SA"/>
        </w:rPr>
        <w:t xml:space="preserve">. Od ukupnog broja poljoprivrednih parcela, 86% su parcele veličine ispod 1 hektara. Od ukupnog broja parcela, kako u privatnom tako i državnom </w:t>
      </w:r>
      <w:r w:rsidRPr="005F5DCD">
        <w:rPr>
          <w:lang w:val="hr-HR" w:eastAsia="ar-SA"/>
        </w:rPr>
        <w:lastRenderedPageBreak/>
        <w:t>vlasništvu, samo 8 parcela je veličine koja prelazi 5 hektara. Prema nekim izvorima</w:t>
      </w:r>
      <w:r w:rsidRPr="005F5DCD">
        <w:rPr>
          <w:vertAlign w:val="superscript"/>
          <w:lang w:val="hr-HR" w:eastAsia="ar-SA"/>
        </w:rPr>
        <w:footnoteReference w:id="8"/>
      </w:r>
      <w:r w:rsidRPr="005F5DCD">
        <w:rPr>
          <w:lang w:val="hr-HR" w:eastAsia="ar-SA"/>
        </w:rPr>
        <w:t xml:space="preserve">, sa 4.000 hektara poljoprivrednog zemljišta kojima je raspolagao Poljoprivredni kombinat „Spreča“, trenutno raspolaže Tuzlanski kanton, a Općina Kalesija posjeduje 810 hektara zemljišta. </w:t>
      </w:r>
    </w:p>
    <w:p w:rsidR="00130A20" w:rsidRPr="005F5DCD" w:rsidRDefault="00130A20" w:rsidP="00194A79">
      <w:pPr>
        <w:pStyle w:val="Pitcures"/>
        <w:rPr>
          <w:lang w:val="hr-HR" w:eastAsia="ar-SA"/>
        </w:rPr>
      </w:pPr>
      <w:r w:rsidRPr="005F5DCD">
        <w:drawing>
          <wp:inline distT="0" distB="0" distL="0" distR="0" wp14:anchorId="4F59E9B9" wp14:editId="47683E91">
            <wp:extent cx="5169397" cy="229697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0715" cy="2324219"/>
                    </a:xfrm>
                    <a:prstGeom prst="rect">
                      <a:avLst/>
                    </a:prstGeom>
                    <a:solidFill>
                      <a:srgbClr val="FFFFFF"/>
                    </a:solidFill>
                    <a:ln>
                      <a:noFill/>
                    </a:ln>
                  </pic:spPr>
                </pic:pic>
              </a:graphicData>
            </a:graphic>
          </wp:inline>
        </w:drawing>
      </w:r>
    </w:p>
    <w:p w:rsidR="00D15754" w:rsidRPr="00FA6527" w:rsidRDefault="00D15754" w:rsidP="00AD59CB">
      <w:pPr>
        <w:pStyle w:val="GrafiTabele"/>
      </w:pPr>
      <w:r w:rsidRPr="00FA6527">
        <w:t>Grafikon 1</w:t>
      </w:r>
      <w:r w:rsidR="00EE353E">
        <w:t>3</w:t>
      </w:r>
      <w:r w:rsidRPr="00FA6527">
        <w:t>: Procentualno u</w:t>
      </w:r>
      <w:r>
        <w:t>češće poljoprivrednih parcela (</w:t>
      </w:r>
      <w:r w:rsidRPr="00FA6527">
        <w:t>po veličini par</w:t>
      </w:r>
      <w:r>
        <w:t>cele) u ukupnom broju parcela (</w:t>
      </w:r>
      <w:r w:rsidRPr="00FA6527">
        <w:t>parcele u privatnom vlasništvu)</w:t>
      </w:r>
    </w:p>
    <w:p w:rsidR="003F6585" w:rsidRPr="005F5DCD" w:rsidRDefault="00BC7C4C" w:rsidP="00092E44">
      <w:pPr>
        <w:pStyle w:val="Izvorpodataka"/>
      </w:pPr>
      <w:r w:rsidRPr="00D15754">
        <w:t>Izvor:</w:t>
      </w:r>
      <w:r w:rsidR="00FA6527" w:rsidRPr="00D15754">
        <w:t xml:space="preserve"> Lekcije iz Bosne i Kosova, Inicijativa za evropsku stabilnost, februar 2002.</w:t>
      </w:r>
    </w:p>
    <w:p w:rsidR="00203161" w:rsidRPr="00203161" w:rsidRDefault="00203161" w:rsidP="00AD59CB">
      <w:pPr>
        <w:pStyle w:val="Heading4"/>
        <w:rPr>
          <w:lang w:val="hr-HR" w:eastAsia="hr-HR" w:bidi="hr-HR"/>
        </w:rPr>
      </w:pPr>
      <w:bookmarkStart w:id="30" w:name="_Toc500140009"/>
      <w:r w:rsidRPr="00203161">
        <w:rPr>
          <w:lang w:val="hr-HR" w:eastAsia="hr-HR" w:bidi="hr-HR"/>
        </w:rPr>
        <w:t>Stočarstvo</w:t>
      </w:r>
      <w:bookmarkEnd w:id="30"/>
    </w:p>
    <w:p w:rsidR="006B4F05" w:rsidRDefault="006B4F05" w:rsidP="00750FA5">
      <w:pPr>
        <w:rPr>
          <w:rFonts w:eastAsia="Times New Roman"/>
          <w:lang w:val="hr-HR" w:eastAsia="hr-HR" w:bidi="hr-HR"/>
        </w:rPr>
      </w:pPr>
      <w:r>
        <w:rPr>
          <w:lang w:val="hr-HR" w:eastAsia="hr-HR" w:bidi="hr-HR"/>
        </w:rPr>
        <w:t>Na području općina djeluj</w:t>
      </w:r>
      <w:r w:rsidR="004F1AA1">
        <w:rPr>
          <w:lang w:val="hr-HR" w:eastAsia="hr-HR" w:bidi="hr-HR"/>
        </w:rPr>
        <w:t>e</w:t>
      </w:r>
      <w:r w:rsidRPr="005F5DCD">
        <w:rPr>
          <w:lang w:val="hr-HR" w:eastAsia="hr-HR" w:bidi="hr-HR"/>
        </w:rPr>
        <w:t xml:space="preserve"> 64 registrovanih obrta u oblasti poljoprivrede</w:t>
      </w:r>
      <w:r w:rsidR="00A04E91">
        <w:rPr>
          <w:lang w:val="hr-HR" w:eastAsia="hr-HR" w:bidi="hr-HR"/>
        </w:rPr>
        <w:t>. O</w:t>
      </w:r>
      <w:r w:rsidR="00A04E91" w:rsidRPr="005F5DCD">
        <w:rPr>
          <w:lang w:val="hr-HR" w:eastAsia="hr-HR" w:bidi="hr-HR"/>
        </w:rPr>
        <w:t xml:space="preserve">d grana stočarske proizvodnje najznačajnije </w:t>
      </w:r>
      <w:r w:rsidR="00A04E91">
        <w:rPr>
          <w:lang w:val="hr-HR" w:eastAsia="hr-HR" w:bidi="hr-HR"/>
        </w:rPr>
        <w:t>je</w:t>
      </w:r>
      <w:r w:rsidR="00A04E91" w:rsidRPr="005F5DCD">
        <w:rPr>
          <w:lang w:val="hr-HR" w:eastAsia="hr-HR" w:bidi="hr-HR"/>
        </w:rPr>
        <w:t xml:space="preserve"> govedarstvo</w:t>
      </w:r>
      <w:r w:rsidR="00A04E91">
        <w:rPr>
          <w:lang w:val="hr-HR" w:eastAsia="hr-HR" w:bidi="hr-HR"/>
        </w:rPr>
        <w:t>, gdje su glavni proizvodi</w:t>
      </w:r>
      <w:r w:rsidR="00A04E91" w:rsidRPr="005F5DCD">
        <w:rPr>
          <w:lang w:val="hr-HR" w:eastAsia="hr-HR" w:bidi="hr-HR"/>
        </w:rPr>
        <w:t xml:space="preserve"> mlijeko i meso.</w:t>
      </w:r>
      <w:r w:rsidR="00A04E91">
        <w:rPr>
          <w:lang w:val="hr-HR" w:eastAsia="hr-HR" w:bidi="hr-HR"/>
        </w:rPr>
        <w:t xml:space="preserve"> </w:t>
      </w:r>
      <w:r w:rsidRPr="005F5DCD">
        <w:rPr>
          <w:lang w:val="hr-HR" w:eastAsia="hr-HR" w:bidi="hr-HR"/>
        </w:rPr>
        <w:t>Ve</w:t>
      </w:r>
      <w:r w:rsidRPr="005F5DCD">
        <w:rPr>
          <w:lang w:val="hr-HR" w:eastAsia="hr-HR" w:bidi="hr-HR"/>
        </w:rPr>
        <w:softHyphen/>
        <w:t>ćina gazdinstava uzgaja od 1 do 6 muznih krava.</w:t>
      </w:r>
      <w:r>
        <w:rPr>
          <w:lang w:val="hr-HR" w:eastAsia="hr-HR" w:bidi="hr-HR"/>
        </w:rPr>
        <w:t xml:space="preserve"> </w:t>
      </w:r>
      <w:r w:rsidRPr="005F5DCD">
        <w:rPr>
          <w:lang w:val="hr-HR" w:eastAsia="hr-HR" w:bidi="hr-HR"/>
        </w:rPr>
        <w:t>Otkup mlijeka vrše PZ Milkland Tuzla,</w:t>
      </w:r>
      <w:r>
        <w:rPr>
          <w:lang w:val="hr-HR" w:eastAsia="hr-HR" w:bidi="hr-HR"/>
        </w:rPr>
        <w:t xml:space="preserve"> </w:t>
      </w:r>
      <w:r w:rsidRPr="005F5DCD">
        <w:rPr>
          <w:lang w:val="hr-HR" w:eastAsia="hr-HR" w:bidi="hr-HR"/>
        </w:rPr>
        <w:t>Doo Inmer Gradačac,</w:t>
      </w:r>
      <w:r>
        <w:rPr>
          <w:lang w:val="hr-HR" w:eastAsia="hr-HR" w:bidi="hr-HR"/>
        </w:rPr>
        <w:t xml:space="preserve"> </w:t>
      </w:r>
      <w:r w:rsidRPr="005F5DCD">
        <w:rPr>
          <w:lang w:val="hr-HR" w:eastAsia="hr-HR" w:bidi="hr-HR"/>
        </w:rPr>
        <w:t>Doo Noćko Živinice,</w:t>
      </w:r>
      <w:r>
        <w:rPr>
          <w:lang w:val="hr-HR" w:eastAsia="hr-HR" w:bidi="hr-HR"/>
        </w:rPr>
        <w:t xml:space="preserve"> </w:t>
      </w:r>
      <w:r w:rsidRPr="005F5DCD">
        <w:rPr>
          <w:lang w:val="hr-HR" w:eastAsia="hr-HR" w:bidi="hr-HR"/>
        </w:rPr>
        <w:t>Doo Milkos Sarajevo,</w:t>
      </w:r>
      <w:r>
        <w:rPr>
          <w:lang w:val="hr-HR" w:eastAsia="hr-HR" w:bidi="hr-HR"/>
        </w:rPr>
        <w:t xml:space="preserve"> </w:t>
      </w:r>
      <w:r w:rsidRPr="005F5DCD">
        <w:rPr>
          <w:lang w:val="hr-HR" w:eastAsia="hr-HR" w:bidi="hr-HR"/>
        </w:rPr>
        <w:t>Doo</w:t>
      </w:r>
      <w:r>
        <w:rPr>
          <w:lang w:val="hr-HR" w:eastAsia="hr-HR" w:bidi="hr-HR"/>
        </w:rPr>
        <w:t xml:space="preserve"> </w:t>
      </w:r>
      <w:r w:rsidRPr="005F5DCD">
        <w:rPr>
          <w:lang w:val="hr-HR" w:eastAsia="hr-HR" w:bidi="hr-HR"/>
        </w:rPr>
        <w:t>Mi 99 Gradačac,</w:t>
      </w:r>
      <w:r>
        <w:rPr>
          <w:lang w:val="hr-HR" w:eastAsia="hr-HR" w:bidi="hr-HR"/>
        </w:rPr>
        <w:t xml:space="preserve"> </w:t>
      </w:r>
      <w:r w:rsidRPr="005F5DCD">
        <w:rPr>
          <w:lang w:val="hr-HR" w:eastAsia="hr-HR" w:bidi="hr-HR"/>
        </w:rPr>
        <w:t>ZZ Sprečanski Farmeri Donji Rainci,</w:t>
      </w:r>
      <w:r>
        <w:rPr>
          <w:lang w:val="hr-HR" w:eastAsia="hr-HR" w:bidi="hr-HR"/>
        </w:rPr>
        <w:t xml:space="preserve"> </w:t>
      </w:r>
      <w:r w:rsidRPr="005F5DCD">
        <w:rPr>
          <w:lang w:val="hr-HR" w:eastAsia="hr-HR" w:bidi="hr-HR"/>
        </w:rPr>
        <w:t>PZ Ekoprodukt Tojšići i PZ Agropromet Tuzla.</w:t>
      </w:r>
      <w:r>
        <w:rPr>
          <w:lang w:val="hr-HR" w:eastAsia="hr-HR" w:bidi="hr-HR"/>
        </w:rPr>
        <w:t xml:space="preserve"> </w:t>
      </w:r>
      <w:r w:rsidRPr="005F5DCD">
        <w:rPr>
          <w:lang w:val="hr-HR" w:eastAsia="hr-HR" w:bidi="hr-HR"/>
        </w:rPr>
        <w:t>Trenutno je na području općine Kalesija instalirano 45 laktofriza za sakupljanje mlijeka.</w:t>
      </w:r>
      <w:r>
        <w:rPr>
          <w:lang w:val="hr-HR" w:eastAsia="hr-HR" w:bidi="hr-HR"/>
        </w:rPr>
        <w:t xml:space="preserve"> </w:t>
      </w:r>
      <w:r w:rsidR="00AA5870" w:rsidRPr="005F5DCD">
        <w:rPr>
          <w:lang w:val="hr-HR" w:eastAsia="ar-SA"/>
        </w:rPr>
        <w:t>Ukupno na području općine po osnovu otkupa mlijeka ostvari se prihod, sa premijama od strane države, u iznosu od cca 3.500.000 KM. Pored naprijed navedenih podataka koji su registrirani preko otkupnih stanica, proizvodi se još cca 4.000.000 litara mlijeka koje proizvođači plasiraju direktno na tržište kao mlijeko i mliječne prizvode.</w:t>
      </w:r>
      <w:r w:rsidR="009561DD">
        <w:rPr>
          <w:lang w:val="hr-HR" w:eastAsia="ar-SA"/>
        </w:rPr>
        <w:t xml:space="preserve"> </w:t>
      </w:r>
      <w:r w:rsidRPr="005F5DCD">
        <w:rPr>
          <w:rFonts w:eastAsia="Times New Roman"/>
          <w:lang w:val="hr-HR" w:eastAsia="hr-HR" w:bidi="hr-HR"/>
        </w:rPr>
        <w:t>Poda</w:t>
      </w:r>
      <w:r w:rsidR="00AA5870">
        <w:rPr>
          <w:rFonts w:eastAsia="Times New Roman"/>
          <w:lang w:val="hr-HR" w:eastAsia="hr-HR" w:bidi="hr-HR"/>
        </w:rPr>
        <w:t>ci o</w:t>
      </w:r>
      <w:r w:rsidRPr="005F5DCD">
        <w:rPr>
          <w:rFonts w:eastAsia="Times New Roman"/>
          <w:lang w:val="hr-HR" w:eastAsia="hr-HR" w:bidi="hr-HR"/>
        </w:rPr>
        <w:t xml:space="preserve"> brojno</w:t>
      </w:r>
      <w:r w:rsidR="00AA5870">
        <w:rPr>
          <w:rFonts w:eastAsia="Times New Roman"/>
          <w:lang w:val="hr-HR" w:eastAsia="hr-HR" w:bidi="hr-HR"/>
        </w:rPr>
        <w:t>m</w:t>
      </w:r>
      <w:r w:rsidRPr="005F5DCD">
        <w:rPr>
          <w:rFonts w:eastAsia="Times New Roman"/>
          <w:lang w:val="hr-HR" w:eastAsia="hr-HR" w:bidi="hr-HR"/>
        </w:rPr>
        <w:t xml:space="preserve"> stanj</w:t>
      </w:r>
      <w:r w:rsidR="00AA5870">
        <w:rPr>
          <w:rFonts w:eastAsia="Times New Roman"/>
          <w:lang w:val="hr-HR" w:eastAsia="hr-HR" w:bidi="hr-HR"/>
        </w:rPr>
        <w:t>u</w:t>
      </w:r>
      <w:r w:rsidRPr="005F5DCD">
        <w:rPr>
          <w:rFonts w:eastAsia="Times New Roman"/>
          <w:lang w:val="hr-HR" w:eastAsia="hr-HR" w:bidi="hr-HR"/>
        </w:rPr>
        <w:t xml:space="preserve"> stoke na podru</w:t>
      </w:r>
      <w:r>
        <w:rPr>
          <w:rFonts w:eastAsia="Times New Roman"/>
          <w:lang w:val="hr-HR" w:eastAsia="hr-HR" w:bidi="hr-HR"/>
        </w:rPr>
        <w:t xml:space="preserve">čju općine Kalesija od januara </w:t>
      </w:r>
      <w:r w:rsidRPr="005F5DCD">
        <w:rPr>
          <w:rFonts w:eastAsia="Times New Roman"/>
          <w:lang w:val="hr-HR" w:eastAsia="hr-HR" w:bidi="hr-HR"/>
        </w:rPr>
        <w:t xml:space="preserve">2017. </w:t>
      </w:r>
      <w:r w:rsidR="00AA5870">
        <w:rPr>
          <w:rFonts w:eastAsia="Times New Roman"/>
          <w:lang w:val="hr-HR" w:eastAsia="hr-HR" w:bidi="hr-HR"/>
        </w:rPr>
        <w:t>g</w:t>
      </w:r>
      <w:r w:rsidRPr="005F5DCD">
        <w:rPr>
          <w:rFonts w:eastAsia="Times New Roman"/>
          <w:lang w:val="hr-HR" w:eastAsia="hr-HR" w:bidi="hr-HR"/>
        </w:rPr>
        <w:t>odine</w:t>
      </w:r>
      <w:r w:rsidR="00AA5870">
        <w:rPr>
          <w:rFonts w:eastAsia="Times New Roman"/>
          <w:lang w:val="hr-HR" w:eastAsia="hr-HR" w:bidi="hr-HR"/>
        </w:rPr>
        <w:t>, prema evidenciji</w:t>
      </w:r>
      <w:r w:rsidRPr="005F5DCD">
        <w:rPr>
          <w:rFonts w:eastAsia="Times New Roman"/>
          <w:lang w:val="hr-HR" w:eastAsia="hr-HR" w:bidi="hr-HR"/>
        </w:rPr>
        <w:t xml:space="preserve"> Veterinarske stanice Kalesij</w:t>
      </w:r>
      <w:r w:rsidR="00A04E91">
        <w:rPr>
          <w:rFonts w:eastAsia="Times New Roman"/>
          <w:lang w:val="hr-HR" w:eastAsia="hr-HR" w:bidi="hr-HR"/>
        </w:rPr>
        <w:t>a</w:t>
      </w:r>
      <w:r w:rsidR="004F1AA1">
        <w:rPr>
          <w:rFonts w:eastAsia="Times New Roman"/>
          <w:lang w:val="hr-HR" w:eastAsia="hr-HR" w:bidi="hr-HR"/>
        </w:rPr>
        <w:t>,</w:t>
      </w:r>
      <w:r w:rsidR="00A04E91">
        <w:rPr>
          <w:rFonts w:eastAsia="Times New Roman"/>
          <w:lang w:val="hr-HR" w:eastAsia="hr-HR" w:bidi="hr-HR"/>
        </w:rPr>
        <w:t xml:space="preserve"> </w:t>
      </w:r>
      <w:r w:rsidR="00AA5870">
        <w:rPr>
          <w:rFonts w:eastAsia="Times New Roman"/>
          <w:lang w:val="hr-HR" w:eastAsia="hr-HR" w:bidi="hr-HR"/>
        </w:rPr>
        <w:t>prikazani su u</w:t>
      </w:r>
      <w:r w:rsidR="00A04E91">
        <w:rPr>
          <w:rFonts w:eastAsia="Times New Roman"/>
          <w:lang w:val="hr-HR" w:eastAsia="hr-HR" w:bidi="hr-HR"/>
        </w:rPr>
        <w:t xml:space="preserve"> </w:t>
      </w:r>
      <w:r w:rsidR="007077D4">
        <w:rPr>
          <w:rFonts w:eastAsia="Times New Roman"/>
          <w:lang w:val="hr-HR" w:eastAsia="hr-HR" w:bidi="hr-HR"/>
        </w:rPr>
        <w:t xml:space="preserve">tabeli </w:t>
      </w:r>
      <w:r w:rsidR="00EE353E">
        <w:rPr>
          <w:rFonts w:eastAsia="Times New Roman"/>
          <w:lang w:val="hr-HR" w:eastAsia="hr-HR" w:bidi="hr-HR"/>
        </w:rPr>
        <w:t>5</w:t>
      </w:r>
      <w:r w:rsidR="007077D4">
        <w:rPr>
          <w:rFonts w:eastAsia="Times New Roman"/>
          <w:lang w:val="hr-HR" w:eastAsia="hr-HR" w:bidi="hr-HR"/>
        </w:rPr>
        <w:t>.</w:t>
      </w:r>
    </w:p>
    <w:p w:rsidR="007077D4" w:rsidRPr="007077D4" w:rsidRDefault="007077D4" w:rsidP="00AD59CB">
      <w:pPr>
        <w:pStyle w:val="GrafiTabele"/>
      </w:pPr>
      <w:r w:rsidRPr="007077D4">
        <w:t xml:space="preserve">Tabela </w:t>
      </w:r>
      <w:r w:rsidR="00EE353E">
        <w:t>5</w:t>
      </w:r>
      <w:r w:rsidRPr="007077D4">
        <w:t xml:space="preserve">: Brojna stanja stoke na području općine Kalesija 2017. </w:t>
      </w:r>
      <w:r>
        <w:t>g</w:t>
      </w:r>
      <w:r w:rsidRPr="007077D4">
        <w:t>odine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0"/>
        <w:gridCol w:w="2158"/>
      </w:tblGrid>
      <w:tr w:rsidR="006B4F05" w:rsidRPr="004F1AA1" w:rsidTr="00E0060B">
        <w:trPr>
          <w:jc w:val="center"/>
        </w:trPr>
        <w:tc>
          <w:tcPr>
            <w:tcW w:w="4790" w:type="dxa"/>
            <w:shd w:val="clear" w:color="auto" w:fill="D9D9D9" w:themeFill="background1" w:themeFillShade="D9"/>
          </w:tcPr>
          <w:p w:rsidR="006B4F05" w:rsidRPr="004F1AA1" w:rsidRDefault="006B4F05" w:rsidP="005F6F10">
            <w:pPr>
              <w:widowControl w:val="0"/>
              <w:suppressAutoHyphens/>
              <w:kinsoku w:val="0"/>
              <w:overflowPunct w:val="0"/>
              <w:spacing w:before="20" w:after="20"/>
              <w:jc w:val="center"/>
              <w:textAlignment w:val="baseline"/>
              <w:rPr>
                <w:rFonts w:eastAsia="Times New Roman"/>
                <w:b/>
                <w:sz w:val="20"/>
                <w:szCs w:val="20"/>
                <w:lang w:val="hr-HR" w:eastAsia="hr-HR" w:bidi="hr-HR"/>
              </w:rPr>
            </w:pPr>
            <w:r w:rsidRPr="004F1AA1">
              <w:rPr>
                <w:rFonts w:eastAsia="Times New Roman"/>
                <w:b/>
                <w:sz w:val="20"/>
                <w:szCs w:val="20"/>
                <w:lang w:val="hr-HR" w:eastAsia="hr-HR" w:bidi="hr-HR"/>
              </w:rPr>
              <w:t>Vrsta  i kategorija stoke</w:t>
            </w:r>
          </w:p>
        </w:tc>
        <w:tc>
          <w:tcPr>
            <w:tcW w:w="2158" w:type="dxa"/>
            <w:shd w:val="clear" w:color="auto" w:fill="D9D9D9" w:themeFill="background1" w:themeFillShade="D9"/>
          </w:tcPr>
          <w:p w:rsidR="006B4F05" w:rsidRPr="004F1AA1" w:rsidRDefault="006B4F05" w:rsidP="005F6F10">
            <w:pPr>
              <w:widowControl w:val="0"/>
              <w:suppressAutoHyphens/>
              <w:kinsoku w:val="0"/>
              <w:overflowPunct w:val="0"/>
              <w:spacing w:before="20" w:after="20"/>
              <w:jc w:val="center"/>
              <w:textAlignment w:val="baseline"/>
              <w:rPr>
                <w:rFonts w:eastAsia="Times New Roman"/>
                <w:b/>
                <w:sz w:val="20"/>
                <w:szCs w:val="20"/>
                <w:lang w:val="hr-HR" w:eastAsia="hr-HR" w:bidi="hr-HR"/>
              </w:rPr>
            </w:pPr>
            <w:r w:rsidRPr="004F1AA1">
              <w:rPr>
                <w:rFonts w:eastAsia="Times New Roman"/>
                <w:b/>
                <w:sz w:val="20"/>
                <w:szCs w:val="20"/>
                <w:lang w:val="hr-HR" w:eastAsia="hr-HR" w:bidi="hr-HR"/>
              </w:rPr>
              <w:t>Broj grla/komada</w:t>
            </w:r>
          </w:p>
        </w:tc>
      </w:tr>
      <w:tr w:rsidR="006B4F05" w:rsidRPr="004F1AA1" w:rsidTr="00EE353E">
        <w:trPr>
          <w:jc w:val="center"/>
        </w:trPr>
        <w:tc>
          <w:tcPr>
            <w:tcW w:w="4790" w:type="dxa"/>
          </w:tcPr>
          <w:p w:rsidR="006B4F05" w:rsidRPr="004F1AA1" w:rsidRDefault="006B4F05" w:rsidP="005F6F10">
            <w:pPr>
              <w:widowControl w:val="0"/>
              <w:suppressAutoHyphens/>
              <w:kinsoku w:val="0"/>
              <w:overflowPunct w:val="0"/>
              <w:spacing w:before="20" w:after="20"/>
              <w:textAlignment w:val="baseline"/>
              <w:rPr>
                <w:rFonts w:eastAsia="Times New Roman"/>
                <w:sz w:val="20"/>
                <w:szCs w:val="20"/>
                <w:lang w:val="hr-HR" w:eastAsia="hr-HR" w:bidi="hr-HR"/>
              </w:rPr>
            </w:pPr>
            <w:r w:rsidRPr="004F1AA1">
              <w:rPr>
                <w:rFonts w:eastAsia="Times New Roman"/>
                <w:sz w:val="20"/>
                <w:szCs w:val="20"/>
                <w:lang w:val="hr-HR" w:eastAsia="hr-HR" w:bidi="hr-HR"/>
              </w:rPr>
              <w:t>-GOVEDA (ukupno)</w:t>
            </w:r>
          </w:p>
          <w:p w:rsidR="006B4F05" w:rsidRPr="003019A8" w:rsidRDefault="006B4F05" w:rsidP="003019A8">
            <w:pPr>
              <w:pStyle w:val="ListParagraph"/>
              <w:widowControl w:val="0"/>
              <w:numPr>
                <w:ilvl w:val="0"/>
                <w:numId w:val="9"/>
              </w:numPr>
              <w:suppressAutoHyphens/>
              <w:kinsoku w:val="0"/>
              <w:overflowPunct w:val="0"/>
              <w:autoSpaceDE w:val="0"/>
              <w:autoSpaceDN w:val="0"/>
              <w:adjustRightInd w:val="0"/>
              <w:spacing w:before="20" w:after="20"/>
              <w:textAlignment w:val="baseline"/>
              <w:rPr>
                <w:sz w:val="20"/>
                <w:szCs w:val="20"/>
                <w:lang w:val="hr-HR" w:eastAsia="hr-HR" w:bidi="hr-HR"/>
              </w:rPr>
            </w:pPr>
            <w:r w:rsidRPr="003019A8">
              <w:rPr>
                <w:sz w:val="20"/>
                <w:szCs w:val="20"/>
                <w:lang w:val="hr-HR" w:eastAsia="hr-HR" w:bidi="hr-HR"/>
              </w:rPr>
              <w:t>krave i junice</w:t>
            </w:r>
          </w:p>
          <w:p w:rsidR="006B4F05" w:rsidRPr="003019A8" w:rsidRDefault="006B4F05" w:rsidP="003019A8">
            <w:pPr>
              <w:pStyle w:val="ListParagraph"/>
              <w:widowControl w:val="0"/>
              <w:numPr>
                <w:ilvl w:val="0"/>
                <w:numId w:val="9"/>
              </w:numPr>
              <w:suppressAutoHyphens/>
              <w:kinsoku w:val="0"/>
              <w:overflowPunct w:val="0"/>
              <w:autoSpaceDE w:val="0"/>
              <w:autoSpaceDN w:val="0"/>
              <w:adjustRightInd w:val="0"/>
              <w:spacing w:before="20" w:after="20"/>
              <w:textAlignment w:val="baseline"/>
              <w:rPr>
                <w:sz w:val="20"/>
                <w:szCs w:val="20"/>
                <w:lang w:val="hr-HR" w:eastAsia="hr-HR" w:bidi="hr-HR"/>
              </w:rPr>
            </w:pPr>
            <w:r w:rsidRPr="003019A8">
              <w:rPr>
                <w:sz w:val="20"/>
                <w:szCs w:val="20"/>
                <w:lang w:val="hr-HR" w:eastAsia="hr-HR" w:bidi="hr-HR"/>
              </w:rPr>
              <w:t>junad u tovu</w:t>
            </w:r>
          </w:p>
        </w:tc>
        <w:tc>
          <w:tcPr>
            <w:tcW w:w="2158" w:type="dxa"/>
            <w:noWrap/>
            <w:tcMar>
              <w:left w:w="29" w:type="dxa"/>
              <w:right w:w="29" w:type="dxa"/>
            </w:tcMar>
          </w:tcPr>
          <w:p w:rsidR="006B4F05" w:rsidRPr="004F1AA1" w:rsidRDefault="006B4F05" w:rsidP="005F6F10">
            <w:pPr>
              <w:widowControl w:val="0"/>
              <w:suppressAutoHyphens/>
              <w:kinsoku w:val="0"/>
              <w:overflowPunct w:val="0"/>
              <w:spacing w:before="20" w:after="20"/>
              <w:ind w:right="576"/>
              <w:jc w:val="right"/>
              <w:textAlignment w:val="baseline"/>
              <w:rPr>
                <w:rFonts w:eastAsia="Times New Roman"/>
                <w:sz w:val="20"/>
                <w:szCs w:val="20"/>
                <w:lang w:val="hr-HR" w:eastAsia="hr-HR" w:bidi="hr-HR"/>
              </w:rPr>
            </w:pPr>
            <w:r w:rsidRPr="004F1AA1">
              <w:rPr>
                <w:rFonts w:eastAsia="Times New Roman"/>
                <w:sz w:val="20"/>
                <w:szCs w:val="20"/>
                <w:lang w:val="hr-HR" w:eastAsia="hr-HR" w:bidi="hr-HR"/>
              </w:rPr>
              <w:t>8</w:t>
            </w:r>
            <w:r w:rsidR="007536DA" w:rsidRPr="004F1AA1">
              <w:rPr>
                <w:rFonts w:eastAsia="Times New Roman"/>
                <w:sz w:val="20"/>
                <w:szCs w:val="20"/>
                <w:lang w:val="hr-HR" w:eastAsia="hr-HR" w:bidi="hr-HR"/>
              </w:rPr>
              <w:t>.</w:t>
            </w:r>
            <w:r w:rsidRPr="004F1AA1">
              <w:rPr>
                <w:rFonts w:eastAsia="Times New Roman"/>
                <w:sz w:val="20"/>
                <w:szCs w:val="20"/>
                <w:lang w:val="hr-HR" w:eastAsia="hr-HR" w:bidi="hr-HR"/>
              </w:rPr>
              <w:t>000</w:t>
            </w:r>
          </w:p>
          <w:p w:rsidR="006B4F05" w:rsidRPr="004F1AA1" w:rsidRDefault="006B4F05" w:rsidP="005F6F10">
            <w:pPr>
              <w:widowControl w:val="0"/>
              <w:suppressAutoHyphens/>
              <w:kinsoku w:val="0"/>
              <w:overflowPunct w:val="0"/>
              <w:spacing w:before="20" w:after="20"/>
              <w:ind w:right="576"/>
              <w:jc w:val="right"/>
              <w:textAlignment w:val="baseline"/>
              <w:rPr>
                <w:rFonts w:eastAsia="Times New Roman"/>
                <w:sz w:val="20"/>
                <w:szCs w:val="20"/>
                <w:lang w:val="hr-HR" w:eastAsia="hr-HR" w:bidi="hr-HR"/>
              </w:rPr>
            </w:pPr>
            <w:r w:rsidRPr="004F1AA1">
              <w:rPr>
                <w:rFonts w:eastAsia="Times New Roman"/>
                <w:sz w:val="20"/>
                <w:szCs w:val="20"/>
                <w:lang w:val="hr-HR" w:eastAsia="hr-HR" w:bidi="hr-HR"/>
              </w:rPr>
              <w:t>6</w:t>
            </w:r>
            <w:r w:rsidR="007536DA" w:rsidRPr="004F1AA1">
              <w:rPr>
                <w:rFonts w:eastAsia="Times New Roman"/>
                <w:sz w:val="20"/>
                <w:szCs w:val="20"/>
                <w:lang w:val="hr-HR" w:eastAsia="hr-HR" w:bidi="hr-HR"/>
              </w:rPr>
              <w:t>.</w:t>
            </w:r>
            <w:r w:rsidRPr="004F1AA1">
              <w:rPr>
                <w:rFonts w:eastAsia="Times New Roman"/>
                <w:sz w:val="20"/>
                <w:szCs w:val="20"/>
                <w:lang w:val="hr-HR" w:eastAsia="hr-HR" w:bidi="hr-HR"/>
              </w:rPr>
              <w:t>300</w:t>
            </w:r>
          </w:p>
          <w:p w:rsidR="006B4F05" w:rsidRPr="004F1AA1" w:rsidRDefault="006B4F05" w:rsidP="005F6F10">
            <w:pPr>
              <w:widowControl w:val="0"/>
              <w:suppressAutoHyphens/>
              <w:kinsoku w:val="0"/>
              <w:overflowPunct w:val="0"/>
              <w:spacing w:before="20" w:after="20"/>
              <w:ind w:right="576"/>
              <w:jc w:val="right"/>
              <w:textAlignment w:val="baseline"/>
              <w:rPr>
                <w:rFonts w:eastAsia="Times New Roman"/>
                <w:sz w:val="20"/>
                <w:szCs w:val="20"/>
                <w:lang w:val="hr-HR" w:eastAsia="hr-HR" w:bidi="hr-HR"/>
              </w:rPr>
            </w:pPr>
            <w:r w:rsidRPr="004F1AA1">
              <w:rPr>
                <w:rFonts w:eastAsia="Times New Roman"/>
                <w:sz w:val="20"/>
                <w:szCs w:val="20"/>
                <w:lang w:val="hr-HR" w:eastAsia="hr-HR" w:bidi="hr-HR"/>
              </w:rPr>
              <w:t>900</w:t>
            </w:r>
          </w:p>
        </w:tc>
      </w:tr>
      <w:tr w:rsidR="006B4F05" w:rsidRPr="004F1AA1" w:rsidTr="00EE353E">
        <w:trPr>
          <w:jc w:val="center"/>
        </w:trPr>
        <w:tc>
          <w:tcPr>
            <w:tcW w:w="4790" w:type="dxa"/>
          </w:tcPr>
          <w:p w:rsidR="006B4F05" w:rsidRPr="004F1AA1" w:rsidRDefault="006B4F05" w:rsidP="005F6F10">
            <w:pPr>
              <w:widowControl w:val="0"/>
              <w:suppressAutoHyphens/>
              <w:kinsoku w:val="0"/>
              <w:overflowPunct w:val="0"/>
              <w:spacing w:before="20" w:after="20"/>
              <w:textAlignment w:val="baseline"/>
              <w:rPr>
                <w:rFonts w:eastAsia="Times New Roman"/>
                <w:sz w:val="20"/>
                <w:szCs w:val="20"/>
                <w:lang w:val="hr-HR" w:eastAsia="hr-HR" w:bidi="hr-HR"/>
              </w:rPr>
            </w:pPr>
            <w:r w:rsidRPr="004F1AA1">
              <w:rPr>
                <w:rFonts w:eastAsia="Times New Roman"/>
                <w:sz w:val="20"/>
                <w:szCs w:val="20"/>
                <w:lang w:val="hr-HR" w:eastAsia="hr-HR" w:bidi="hr-HR"/>
              </w:rPr>
              <w:t>-OVCE (ukupno)</w:t>
            </w:r>
          </w:p>
          <w:p w:rsidR="006B4F05" w:rsidRPr="00A01D01" w:rsidRDefault="006B4F05" w:rsidP="00A01D01">
            <w:pPr>
              <w:pStyle w:val="ListParagraph"/>
              <w:widowControl w:val="0"/>
              <w:numPr>
                <w:ilvl w:val="0"/>
                <w:numId w:val="42"/>
              </w:numPr>
              <w:suppressAutoHyphens/>
              <w:kinsoku w:val="0"/>
              <w:overflowPunct w:val="0"/>
              <w:autoSpaceDE w:val="0"/>
              <w:autoSpaceDN w:val="0"/>
              <w:adjustRightInd w:val="0"/>
              <w:spacing w:before="20" w:after="20"/>
              <w:ind w:left="679" w:hanging="425"/>
              <w:textAlignment w:val="baseline"/>
              <w:rPr>
                <w:sz w:val="20"/>
                <w:szCs w:val="20"/>
                <w:lang w:val="hr-HR" w:eastAsia="hr-HR" w:bidi="hr-HR"/>
              </w:rPr>
            </w:pPr>
            <w:r w:rsidRPr="00A01D01">
              <w:rPr>
                <w:sz w:val="20"/>
                <w:szCs w:val="20"/>
                <w:lang w:val="hr-HR" w:eastAsia="hr-HR" w:bidi="hr-HR"/>
              </w:rPr>
              <w:t>ovce za priplod</w:t>
            </w:r>
          </w:p>
          <w:p w:rsidR="006B4F05" w:rsidRPr="00A01D01" w:rsidRDefault="006B4F05" w:rsidP="00A01D01">
            <w:pPr>
              <w:pStyle w:val="ListParagraph"/>
              <w:widowControl w:val="0"/>
              <w:numPr>
                <w:ilvl w:val="0"/>
                <w:numId w:val="42"/>
              </w:numPr>
              <w:suppressAutoHyphens/>
              <w:kinsoku w:val="0"/>
              <w:overflowPunct w:val="0"/>
              <w:autoSpaceDE w:val="0"/>
              <w:autoSpaceDN w:val="0"/>
              <w:adjustRightInd w:val="0"/>
              <w:spacing w:before="20" w:after="20"/>
              <w:ind w:left="679" w:hanging="425"/>
              <w:textAlignment w:val="baseline"/>
              <w:rPr>
                <w:sz w:val="20"/>
                <w:szCs w:val="20"/>
                <w:lang w:val="hr-HR" w:eastAsia="hr-HR" w:bidi="hr-HR"/>
              </w:rPr>
            </w:pPr>
            <w:r w:rsidRPr="00A01D01">
              <w:rPr>
                <w:sz w:val="20"/>
                <w:szCs w:val="20"/>
                <w:lang w:val="hr-HR" w:eastAsia="hr-HR" w:bidi="hr-HR"/>
              </w:rPr>
              <w:t>jagnjad u tovu</w:t>
            </w:r>
          </w:p>
        </w:tc>
        <w:tc>
          <w:tcPr>
            <w:tcW w:w="2158" w:type="dxa"/>
            <w:noWrap/>
            <w:tcMar>
              <w:left w:w="29" w:type="dxa"/>
              <w:right w:w="29" w:type="dxa"/>
            </w:tcMar>
          </w:tcPr>
          <w:p w:rsidR="006B4F05" w:rsidRPr="004F1AA1" w:rsidRDefault="006B4F05" w:rsidP="005F6F10">
            <w:pPr>
              <w:widowControl w:val="0"/>
              <w:suppressAutoHyphens/>
              <w:kinsoku w:val="0"/>
              <w:overflowPunct w:val="0"/>
              <w:spacing w:before="20" w:after="20"/>
              <w:ind w:right="576"/>
              <w:jc w:val="right"/>
              <w:textAlignment w:val="baseline"/>
              <w:rPr>
                <w:rFonts w:eastAsia="Times New Roman"/>
                <w:sz w:val="20"/>
                <w:szCs w:val="20"/>
                <w:lang w:val="hr-HR" w:eastAsia="hr-HR" w:bidi="hr-HR"/>
              </w:rPr>
            </w:pPr>
            <w:r w:rsidRPr="004F1AA1">
              <w:rPr>
                <w:rFonts w:eastAsia="Times New Roman"/>
                <w:sz w:val="20"/>
                <w:szCs w:val="20"/>
                <w:lang w:val="hr-HR" w:eastAsia="hr-HR" w:bidi="hr-HR"/>
              </w:rPr>
              <w:t>8</w:t>
            </w:r>
            <w:r w:rsidR="007536DA" w:rsidRPr="004F1AA1">
              <w:rPr>
                <w:rFonts w:eastAsia="Times New Roman"/>
                <w:sz w:val="20"/>
                <w:szCs w:val="20"/>
                <w:lang w:val="hr-HR" w:eastAsia="hr-HR" w:bidi="hr-HR"/>
              </w:rPr>
              <w:t>.</w:t>
            </w:r>
            <w:r w:rsidRPr="004F1AA1">
              <w:rPr>
                <w:rFonts w:eastAsia="Times New Roman"/>
                <w:sz w:val="20"/>
                <w:szCs w:val="20"/>
                <w:lang w:val="hr-HR" w:eastAsia="hr-HR" w:bidi="hr-HR"/>
              </w:rPr>
              <w:t>580</w:t>
            </w:r>
          </w:p>
          <w:p w:rsidR="006B4F05" w:rsidRPr="004F1AA1" w:rsidRDefault="006B4F05" w:rsidP="005F6F10">
            <w:pPr>
              <w:widowControl w:val="0"/>
              <w:suppressAutoHyphens/>
              <w:kinsoku w:val="0"/>
              <w:overflowPunct w:val="0"/>
              <w:spacing w:before="20" w:after="20"/>
              <w:ind w:right="576"/>
              <w:jc w:val="right"/>
              <w:textAlignment w:val="baseline"/>
              <w:rPr>
                <w:rFonts w:eastAsia="Times New Roman"/>
                <w:sz w:val="20"/>
                <w:szCs w:val="20"/>
                <w:lang w:val="hr-HR" w:eastAsia="hr-HR" w:bidi="hr-HR"/>
              </w:rPr>
            </w:pPr>
            <w:r w:rsidRPr="004F1AA1">
              <w:rPr>
                <w:rFonts w:eastAsia="Times New Roman"/>
                <w:sz w:val="20"/>
                <w:szCs w:val="20"/>
                <w:lang w:val="hr-HR" w:eastAsia="hr-HR" w:bidi="hr-HR"/>
              </w:rPr>
              <w:t>4</w:t>
            </w:r>
            <w:r w:rsidR="007536DA" w:rsidRPr="004F1AA1">
              <w:rPr>
                <w:rFonts w:eastAsia="Times New Roman"/>
                <w:sz w:val="20"/>
                <w:szCs w:val="20"/>
                <w:lang w:val="hr-HR" w:eastAsia="hr-HR" w:bidi="hr-HR"/>
              </w:rPr>
              <w:t>.</w:t>
            </w:r>
            <w:r w:rsidRPr="004F1AA1">
              <w:rPr>
                <w:rFonts w:eastAsia="Times New Roman"/>
                <w:sz w:val="20"/>
                <w:szCs w:val="20"/>
                <w:lang w:val="hr-HR" w:eastAsia="hr-HR" w:bidi="hr-HR"/>
              </w:rPr>
              <w:t>400</w:t>
            </w:r>
          </w:p>
          <w:p w:rsidR="006B4F05" w:rsidRPr="004F1AA1" w:rsidRDefault="006B4F05" w:rsidP="005F6F10">
            <w:pPr>
              <w:widowControl w:val="0"/>
              <w:suppressAutoHyphens/>
              <w:kinsoku w:val="0"/>
              <w:overflowPunct w:val="0"/>
              <w:spacing w:before="20" w:after="20"/>
              <w:ind w:right="576"/>
              <w:jc w:val="right"/>
              <w:textAlignment w:val="baseline"/>
              <w:rPr>
                <w:rFonts w:eastAsia="Times New Roman"/>
                <w:sz w:val="20"/>
                <w:szCs w:val="20"/>
                <w:lang w:val="hr-HR" w:eastAsia="hr-HR" w:bidi="hr-HR"/>
              </w:rPr>
            </w:pPr>
            <w:r w:rsidRPr="004F1AA1">
              <w:rPr>
                <w:rFonts w:eastAsia="Times New Roman"/>
                <w:sz w:val="20"/>
                <w:szCs w:val="20"/>
                <w:lang w:val="hr-HR" w:eastAsia="hr-HR" w:bidi="hr-HR"/>
              </w:rPr>
              <w:t>4</w:t>
            </w:r>
            <w:r w:rsidR="007536DA" w:rsidRPr="004F1AA1">
              <w:rPr>
                <w:rFonts w:eastAsia="Times New Roman"/>
                <w:sz w:val="20"/>
                <w:szCs w:val="20"/>
                <w:lang w:val="hr-HR" w:eastAsia="hr-HR" w:bidi="hr-HR"/>
              </w:rPr>
              <w:t>.</w:t>
            </w:r>
            <w:r w:rsidRPr="004F1AA1">
              <w:rPr>
                <w:rFonts w:eastAsia="Times New Roman"/>
                <w:sz w:val="20"/>
                <w:szCs w:val="20"/>
                <w:lang w:val="hr-HR" w:eastAsia="hr-HR" w:bidi="hr-HR"/>
              </w:rPr>
              <w:t>180</w:t>
            </w:r>
          </w:p>
        </w:tc>
      </w:tr>
      <w:tr w:rsidR="006B4F05" w:rsidRPr="004F1AA1" w:rsidTr="00EE353E">
        <w:trPr>
          <w:jc w:val="center"/>
        </w:trPr>
        <w:tc>
          <w:tcPr>
            <w:tcW w:w="4790" w:type="dxa"/>
          </w:tcPr>
          <w:p w:rsidR="006B4F05" w:rsidRPr="004F1AA1" w:rsidRDefault="006B4F05" w:rsidP="005F6F10">
            <w:pPr>
              <w:widowControl w:val="0"/>
              <w:suppressAutoHyphens/>
              <w:kinsoku w:val="0"/>
              <w:overflowPunct w:val="0"/>
              <w:spacing w:before="20" w:after="20"/>
              <w:textAlignment w:val="baseline"/>
              <w:rPr>
                <w:rFonts w:eastAsia="Times New Roman"/>
                <w:sz w:val="20"/>
                <w:szCs w:val="20"/>
                <w:lang w:val="hr-HR" w:eastAsia="hr-HR" w:bidi="hr-HR"/>
              </w:rPr>
            </w:pPr>
            <w:r w:rsidRPr="004F1AA1">
              <w:rPr>
                <w:rFonts w:eastAsia="Times New Roman"/>
                <w:sz w:val="20"/>
                <w:szCs w:val="20"/>
                <w:lang w:val="hr-HR" w:eastAsia="hr-HR" w:bidi="hr-HR"/>
              </w:rPr>
              <w:t>- KOZE (ukupno)</w:t>
            </w:r>
          </w:p>
        </w:tc>
        <w:tc>
          <w:tcPr>
            <w:tcW w:w="2158" w:type="dxa"/>
            <w:noWrap/>
            <w:tcMar>
              <w:left w:w="29" w:type="dxa"/>
              <w:right w:w="29" w:type="dxa"/>
            </w:tcMar>
          </w:tcPr>
          <w:p w:rsidR="006B4F05" w:rsidRPr="004F1AA1" w:rsidRDefault="006B4F05" w:rsidP="005F6F10">
            <w:pPr>
              <w:widowControl w:val="0"/>
              <w:suppressAutoHyphens/>
              <w:kinsoku w:val="0"/>
              <w:overflowPunct w:val="0"/>
              <w:spacing w:before="20" w:after="20"/>
              <w:ind w:right="576"/>
              <w:jc w:val="right"/>
              <w:textAlignment w:val="baseline"/>
              <w:rPr>
                <w:rFonts w:eastAsia="Times New Roman"/>
                <w:sz w:val="20"/>
                <w:szCs w:val="20"/>
                <w:lang w:val="hr-HR" w:eastAsia="hr-HR" w:bidi="hr-HR"/>
              </w:rPr>
            </w:pPr>
            <w:r w:rsidRPr="004F1AA1">
              <w:rPr>
                <w:rFonts w:eastAsia="Times New Roman"/>
                <w:sz w:val="20"/>
                <w:szCs w:val="20"/>
                <w:lang w:val="hr-HR" w:eastAsia="hr-HR" w:bidi="hr-HR"/>
              </w:rPr>
              <w:t>500</w:t>
            </w:r>
          </w:p>
        </w:tc>
      </w:tr>
      <w:tr w:rsidR="006B4F05" w:rsidRPr="004F1AA1" w:rsidTr="00EE353E">
        <w:trPr>
          <w:jc w:val="center"/>
        </w:trPr>
        <w:tc>
          <w:tcPr>
            <w:tcW w:w="4790" w:type="dxa"/>
          </w:tcPr>
          <w:p w:rsidR="006B4F05" w:rsidRPr="004F1AA1" w:rsidRDefault="006B4F05" w:rsidP="005F6F10">
            <w:pPr>
              <w:widowControl w:val="0"/>
              <w:suppressAutoHyphens/>
              <w:kinsoku w:val="0"/>
              <w:overflowPunct w:val="0"/>
              <w:spacing w:before="20" w:after="20"/>
              <w:textAlignment w:val="baseline"/>
              <w:rPr>
                <w:rFonts w:eastAsia="Times New Roman"/>
                <w:sz w:val="20"/>
                <w:szCs w:val="20"/>
                <w:lang w:val="hr-HR" w:eastAsia="hr-HR" w:bidi="hr-HR"/>
              </w:rPr>
            </w:pPr>
            <w:r w:rsidRPr="004F1AA1">
              <w:rPr>
                <w:rFonts w:eastAsia="Times New Roman"/>
                <w:sz w:val="20"/>
                <w:szCs w:val="20"/>
                <w:lang w:val="hr-HR" w:eastAsia="hr-HR" w:bidi="hr-HR"/>
              </w:rPr>
              <w:t>- KONJI (ukupno)</w:t>
            </w:r>
          </w:p>
          <w:p w:rsidR="006B4F05" w:rsidRPr="00A01D01" w:rsidRDefault="006B4F05" w:rsidP="00A01D01">
            <w:pPr>
              <w:pStyle w:val="ListParagraph"/>
              <w:widowControl w:val="0"/>
              <w:numPr>
                <w:ilvl w:val="0"/>
                <w:numId w:val="43"/>
              </w:numPr>
              <w:suppressAutoHyphens/>
              <w:kinsoku w:val="0"/>
              <w:overflowPunct w:val="0"/>
              <w:autoSpaceDE w:val="0"/>
              <w:autoSpaceDN w:val="0"/>
              <w:adjustRightInd w:val="0"/>
              <w:spacing w:before="20" w:after="20"/>
              <w:ind w:left="679" w:hanging="425"/>
              <w:textAlignment w:val="baseline"/>
              <w:rPr>
                <w:sz w:val="20"/>
                <w:szCs w:val="20"/>
                <w:lang w:val="hr-HR" w:eastAsia="hr-HR" w:bidi="hr-HR"/>
              </w:rPr>
            </w:pPr>
            <w:r w:rsidRPr="00A01D01">
              <w:rPr>
                <w:sz w:val="20"/>
                <w:szCs w:val="20"/>
                <w:lang w:val="hr-HR" w:eastAsia="hr-HR" w:bidi="hr-HR"/>
              </w:rPr>
              <w:t>kobile i ždrijebne omice</w:t>
            </w:r>
          </w:p>
        </w:tc>
        <w:tc>
          <w:tcPr>
            <w:tcW w:w="2158" w:type="dxa"/>
            <w:noWrap/>
            <w:tcMar>
              <w:left w:w="29" w:type="dxa"/>
              <w:right w:w="29" w:type="dxa"/>
            </w:tcMar>
          </w:tcPr>
          <w:p w:rsidR="006B4F05" w:rsidRPr="004F1AA1" w:rsidRDefault="006B4F05" w:rsidP="005F6F10">
            <w:pPr>
              <w:widowControl w:val="0"/>
              <w:suppressAutoHyphens/>
              <w:kinsoku w:val="0"/>
              <w:overflowPunct w:val="0"/>
              <w:spacing w:before="20" w:after="20"/>
              <w:ind w:right="576"/>
              <w:jc w:val="right"/>
              <w:textAlignment w:val="baseline"/>
              <w:rPr>
                <w:rFonts w:eastAsia="Times New Roman"/>
                <w:sz w:val="20"/>
                <w:szCs w:val="20"/>
                <w:lang w:val="hr-HR" w:eastAsia="hr-HR" w:bidi="hr-HR"/>
              </w:rPr>
            </w:pPr>
            <w:r w:rsidRPr="004F1AA1">
              <w:rPr>
                <w:rFonts w:eastAsia="Times New Roman"/>
                <w:sz w:val="20"/>
                <w:szCs w:val="20"/>
                <w:lang w:val="hr-HR" w:eastAsia="hr-HR" w:bidi="hr-HR"/>
              </w:rPr>
              <w:t>150</w:t>
            </w:r>
          </w:p>
          <w:p w:rsidR="006B4F05" w:rsidRPr="004F1AA1" w:rsidRDefault="006B4F05" w:rsidP="005F6F10">
            <w:pPr>
              <w:widowControl w:val="0"/>
              <w:suppressAutoHyphens/>
              <w:kinsoku w:val="0"/>
              <w:overflowPunct w:val="0"/>
              <w:spacing w:before="20" w:after="20"/>
              <w:ind w:right="576"/>
              <w:jc w:val="right"/>
              <w:textAlignment w:val="baseline"/>
              <w:rPr>
                <w:rFonts w:eastAsia="Times New Roman"/>
                <w:sz w:val="20"/>
                <w:szCs w:val="20"/>
                <w:lang w:val="hr-HR" w:eastAsia="hr-HR" w:bidi="hr-HR"/>
              </w:rPr>
            </w:pPr>
            <w:r w:rsidRPr="004F1AA1">
              <w:rPr>
                <w:rFonts w:eastAsia="Times New Roman"/>
                <w:sz w:val="20"/>
                <w:szCs w:val="20"/>
                <w:lang w:val="hr-HR" w:eastAsia="hr-HR" w:bidi="hr-HR"/>
              </w:rPr>
              <w:t>10</w:t>
            </w:r>
          </w:p>
        </w:tc>
      </w:tr>
      <w:tr w:rsidR="006B4F05" w:rsidRPr="004F1AA1" w:rsidTr="00EE353E">
        <w:trPr>
          <w:jc w:val="center"/>
        </w:trPr>
        <w:tc>
          <w:tcPr>
            <w:tcW w:w="4790" w:type="dxa"/>
          </w:tcPr>
          <w:p w:rsidR="006B4F05" w:rsidRPr="004F1AA1" w:rsidRDefault="006B4F05" w:rsidP="005F6F10">
            <w:pPr>
              <w:widowControl w:val="0"/>
              <w:suppressAutoHyphens/>
              <w:kinsoku w:val="0"/>
              <w:overflowPunct w:val="0"/>
              <w:spacing w:before="20" w:after="20"/>
              <w:textAlignment w:val="baseline"/>
              <w:rPr>
                <w:rFonts w:eastAsia="Times New Roman"/>
                <w:sz w:val="20"/>
                <w:szCs w:val="20"/>
                <w:lang w:val="hr-HR" w:eastAsia="hr-HR" w:bidi="hr-HR"/>
              </w:rPr>
            </w:pPr>
            <w:r w:rsidRPr="004F1AA1">
              <w:rPr>
                <w:rFonts w:eastAsia="Times New Roman"/>
                <w:sz w:val="20"/>
                <w:szCs w:val="20"/>
                <w:lang w:val="hr-HR" w:eastAsia="hr-HR" w:bidi="hr-HR"/>
              </w:rPr>
              <w:t>- SVINJE</w:t>
            </w:r>
          </w:p>
        </w:tc>
        <w:tc>
          <w:tcPr>
            <w:tcW w:w="2158" w:type="dxa"/>
            <w:noWrap/>
            <w:tcMar>
              <w:left w:w="29" w:type="dxa"/>
              <w:right w:w="29" w:type="dxa"/>
            </w:tcMar>
          </w:tcPr>
          <w:p w:rsidR="006B4F05" w:rsidRPr="004F1AA1" w:rsidRDefault="006B4F05" w:rsidP="005F6F10">
            <w:pPr>
              <w:widowControl w:val="0"/>
              <w:suppressAutoHyphens/>
              <w:kinsoku w:val="0"/>
              <w:overflowPunct w:val="0"/>
              <w:spacing w:before="20" w:after="20"/>
              <w:ind w:right="576"/>
              <w:jc w:val="right"/>
              <w:textAlignment w:val="baseline"/>
              <w:rPr>
                <w:rFonts w:eastAsia="Times New Roman"/>
                <w:sz w:val="20"/>
                <w:szCs w:val="20"/>
                <w:lang w:val="hr-HR" w:eastAsia="hr-HR" w:bidi="hr-HR"/>
              </w:rPr>
            </w:pPr>
            <w:r w:rsidRPr="004F1AA1">
              <w:rPr>
                <w:rFonts w:eastAsia="Times New Roman"/>
                <w:sz w:val="20"/>
                <w:szCs w:val="20"/>
                <w:lang w:val="hr-HR" w:eastAsia="hr-HR" w:bidi="hr-HR"/>
              </w:rPr>
              <w:t>350</w:t>
            </w:r>
          </w:p>
        </w:tc>
      </w:tr>
      <w:tr w:rsidR="006B4F05" w:rsidRPr="004F1AA1" w:rsidTr="00EE353E">
        <w:trPr>
          <w:jc w:val="center"/>
        </w:trPr>
        <w:tc>
          <w:tcPr>
            <w:tcW w:w="4790" w:type="dxa"/>
          </w:tcPr>
          <w:p w:rsidR="006B4F05" w:rsidRPr="004F1AA1" w:rsidRDefault="006B4F05" w:rsidP="005F6F10">
            <w:pPr>
              <w:widowControl w:val="0"/>
              <w:suppressAutoHyphens/>
              <w:kinsoku w:val="0"/>
              <w:overflowPunct w:val="0"/>
              <w:spacing w:before="20" w:after="20"/>
              <w:textAlignment w:val="baseline"/>
              <w:rPr>
                <w:rFonts w:eastAsia="Times New Roman"/>
                <w:sz w:val="20"/>
                <w:szCs w:val="20"/>
                <w:lang w:val="hr-HR" w:eastAsia="hr-HR" w:bidi="hr-HR"/>
              </w:rPr>
            </w:pPr>
            <w:r w:rsidRPr="004F1AA1">
              <w:rPr>
                <w:rFonts w:eastAsia="Times New Roman"/>
                <w:sz w:val="20"/>
                <w:szCs w:val="20"/>
                <w:lang w:val="hr-HR" w:eastAsia="hr-HR" w:bidi="hr-HR"/>
              </w:rPr>
              <w:t>- PERAD (brojleri)</w:t>
            </w:r>
          </w:p>
          <w:p w:rsidR="006B4F05" w:rsidRPr="004F1AA1" w:rsidRDefault="006B4F05" w:rsidP="005F6F10">
            <w:pPr>
              <w:widowControl w:val="0"/>
              <w:suppressAutoHyphens/>
              <w:kinsoku w:val="0"/>
              <w:overflowPunct w:val="0"/>
              <w:spacing w:before="20" w:after="20"/>
              <w:textAlignment w:val="baseline"/>
              <w:rPr>
                <w:rFonts w:eastAsia="Times New Roman"/>
                <w:sz w:val="20"/>
                <w:szCs w:val="20"/>
                <w:lang w:val="hr-HR" w:eastAsia="hr-HR" w:bidi="hr-HR"/>
              </w:rPr>
            </w:pPr>
            <w:r w:rsidRPr="004F1AA1">
              <w:rPr>
                <w:rFonts w:eastAsia="Times New Roman"/>
                <w:sz w:val="20"/>
                <w:szCs w:val="20"/>
                <w:lang w:val="hr-HR" w:eastAsia="hr-HR" w:bidi="hr-HR"/>
              </w:rPr>
              <w:lastRenderedPageBreak/>
              <w:t>- PERAD (koke nosilje)</w:t>
            </w:r>
          </w:p>
        </w:tc>
        <w:tc>
          <w:tcPr>
            <w:tcW w:w="2158" w:type="dxa"/>
            <w:noWrap/>
            <w:tcMar>
              <w:left w:w="29" w:type="dxa"/>
              <w:right w:w="29" w:type="dxa"/>
            </w:tcMar>
          </w:tcPr>
          <w:p w:rsidR="006B4F05" w:rsidRPr="004F1AA1" w:rsidRDefault="006B4F05" w:rsidP="005F6F10">
            <w:pPr>
              <w:widowControl w:val="0"/>
              <w:suppressAutoHyphens/>
              <w:kinsoku w:val="0"/>
              <w:overflowPunct w:val="0"/>
              <w:spacing w:before="20" w:after="20"/>
              <w:ind w:right="576"/>
              <w:jc w:val="right"/>
              <w:textAlignment w:val="baseline"/>
              <w:rPr>
                <w:rFonts w:eastAsia="Times New Roman"/>
                <w:sz w:val="20"/>
                <w:szCs w:val="20"/>
                <w:lang w:val="hr-HR" w:eastAsia="hr-HR" w:bidi="hr-HR"/>
              </w:rPr>
            </w:pPr>
            <w:r w:rsidRPr="004F1AA1">
              <w:rPr>
                <w:rFonts w:eastAsia="Times New Roman"/>
                <w:sz w:val="20"/>
                <w:szCs w:val="20"/>
                <w:lang w:val="hr-HR" w:eastAsia="hr-HR" w:bidi="hr-HR"/>
              </w:rPr>
              <w:lastRenderedPageBreak/>
              <w:t>500</w:t>
            </w:r>
            <w:r w:rsidR="007536DA" w:rsidRPr="004F1AA1">
              <w:rPr>
                <w:rFonts w:eastAsia="Times New Roman"/>
                <w:sz w:val="20"/>
                <w:szCs w:val="20"/>
                <w:lang w:val="hr-HR" w:eastAsia="hr-HR" w:bidi="hr-HR"/>
              </w:rPr>
              <w:t>.</w:t>
            </w:r>
            <w:r w:rsidRPr="004F1AA1">
              <w:rPr>
                <w:rFonts w:eastAsia="Times New Roman"/>
                <w:sz w:val="20"/>
                <w:szCs w:val="20"/>
                <w:lang w:val="hr-HR" w:eastAsia="hr-HR" w:bidi="hr-HR"/>
              </w:rPr>
              <w:t>00</w:t>
            </w:r>
            <w:r w:rsidR="00EE353E">
              <w:rPr>
                <w:rFonts w:eastAsia="Times New Roman"/>
                <w:sz w:val="20"/>
                <w:szCs w:val="20"/>
                <w:lang w:val="hr-HR" w:eastAsia="hr-HR" w:bidi="hr-HR"/>
              </w:rPr>
              <w:t>0</w:t>
            </w:r>
          </w:p>
          <w:p w:rsidR="006B4F05" w:rsidRPr="004F1AA1" w:rsidRDefault="006B4F05" w:rsidP="005F6F10">
            <w:pPr>
              <w:widowControl w:val="0"/>
              <w:suppressAutoHyphens/>
              <w:kinsoku w:val="0"/>
              <w:overflowPunct w:val="0"/>
              <w:spacing w:before="20" w:after="20"/>
              <w:ind w:right="576"/>
              <w:jc w:val="right"/>
              <w:textAlignment w:val="baseline"/>
              <w:rPr>
                <w:rFonts w:eastAsia="Times New Roman"/>
                <w:sz w:val="20"/>
                <w:szCs w:val="20"/>
                <w:lang w:val="hr-HR" w:eastAsia="hr-HR" w:bidi="hr-HR"/>
              </w:rPr>
            </w:pPr>
            <w:r w:rsidRPr="004F1AA1">
              <w:rPr>
                <w:rFonts w:eastAsia="Times New Roman"/>
                <w:sz w:val="20"/>
                <w:szCs w:val="20"/>
                <w:lang w:val="hr-HR" w:eastAsia="hr-HR" w:bidi="hr-HR"/>
              </w:rPr>
              <w:lastRenderedPageBreak/>
              <w:t>60</w:t>
            </w:r>
            <w:r w:rsidR="007536DA" w:rsidRPr="004F1AA1">
              <w:rPr>
                <w:rFonts w:eastAsia="Times New Roman"/>
                <w:sz w:val="20"/>
                <w:szCs w:val="20"/>
                <w:lang w:val="hr-HR" w:eastAsia="hr-HR" w:bidi="hr-HR"/>
              </w:rPr>
              <w:t>.</w:t>
            </w:r>
            <w:r w:rsidRPr="004F1AA1">
              <w:rPr>
                <w:rFonts w:eastAsia="Times New Roman"/>
                <w:sz w:val="20"/>
                <w:szCs w:val="20"/>
                <w:lang w:val="hr-HR" w:eastAsia="hr-HR" w:bidi="hr-HR"/>
              </w:rPr>
              <w:t>000</w:t>
            </w:r>
          </w:p>
        </w:tc>
      </w:tr>
      <w:tr w:rsidR="006B4F05" w:rsidRPr="004F1AA1" w:rsidTr="00EE353E">
        <w:trPr>
          <w:jc w:val="center"/>
        </w:trPr>
        <w:tc>
          <w:tcPr>
            <w:tcW w:w="4790" w:type="dxa"/>
          </w:tcPr>
          <w:p w:rsidR="006B4F05" w:rsidRPr="004F1AA1" w:rsidRDefault="006B4F05" w:rsidP="005F6F10">
            <w:pPr>
              <w:widowControl w:val="0"/>
              <w:suppressAutoHyphens/>
              <w:kinsoku w:val="0"/>
              <w:overflowPunct w:val="0"/>
              <w:spacing w:before="20" w:after="20"/>
              <w:textAlignment w:val="baseline"/>
              <w:rPr>
                <w:rFonts w:eastAsia="Times New Roman"/>
                <w:sz w:val="20"/>
                <w:szCs w:val="20"/>
                <w:lang w:val="hr-HR" w:eastAsia="hr-HR" w:bidi="hr-HR"/>
              </w:rPr>
            </w:pPr>
            <w:r w:rsidRPr="004F1AA1">
              <w:rPr>
                <w:rFonts w:eastAsia="Times New Roman"/>
                <w:sz w:val="20"/>
                <w:szCs w:val="20"/>
                <w:lang w:val="hr-HR" w:eastAsia="hr-HR" w:bidi="hr-HR"/>
              </w:rPr>
              <w:lastRenderedPageBreak/>
              <w:t>- KUNIĆI</w:t>
            </w:r>
          </w:p>
        </w:tc>
        <w:tc>
          <w:tcPr>
            <w:tcW w:w="2158" w:type="dxa"/>
            <w:noWrap/>
            <w:tcMar>
              <w:left w:w="29" w:type="dxa"/>
              <w:right w:w="29" w:type="dxa"/>
            </w:tcMar>
          </w:tcPr>
          <w:p w:rsidR="006B4F05" w:rsidRPr="004F1AA1" w:rsidRDefault="006B4F05" w:rsidP="005F6F10">
            <w:pPr>
              <w:widowControl w:val="0"/>
              <w:suppressAutoHyphens/>
              <w:kinsoku w:val="0"/>
              <w:overflowPunct w:val="0"/>
              <w:spacing w:before="20" w:after="20"/>
              <w:ind w:right="576"/>
              <w:jc w:val="right"/>
              <w:textAlignment w:val="baseline"/>
              <w:rPr>
                <w:rFonts w:eastAsia="Times New Roman"/>
                <w:sz w:val="20"/>
                <w:szCs w:val="20"/>
                <w:lang w:val="hr-HR" w:eastAsia="hr-HR" w:bidi="hr-HR"/>
              </w:rPr>
            </w:pPr>
            <w:r w:rsidRPr="004F1AA1">
              <w:rPr>
                <w:rFonts w:eastAsia="Times New Roman"/>
                <w:sz w:val="20"/>
                <w:szCs w:val="20"/>
                <w:lang w:val="hr-HR" w:eastAsia="hr-HR" w:bidi="hr-HR"/>
              </w:rPr>
              <w:t>600</w:t>
            </w:r>
          </w:p>
        </w:tc>
      </w:tr>
      <w:tr w:rsidR="006B4F05" w:rsidRPr="004F1AA1" w:rsidTr="00EE353E">
        <w:trPr>
          <w:jc w:val="center"/>
        </w:trPr>
        <w:tc>
          <w:tcPr>
            <w:tcW w:w="4790" w:type="dxa"/>
          </w:tcPr>
          <w:p w:rsidR="006B4F05" w:rsidRPr="004F1AA1" w:rsidRDefault="006B4F05" w:rsidP="005F6F10">
            <w:pPr>
              <w:widowControl w:val="0"/>
              <w:suppressAutoHyphens/>
              <w:kinsoku w:val="0"/>
              <w:overflowPunct w:val="0"/>
              <w:spacing w:before="20" w:after="20"/>
              <w:textAlignment w:val="baseline"/>
              <w:rPr>
                <w:rFonts w:eastAsia="Times New Roman"/>
                <w:sz w:val="20"/>
                <w:szCs w:val="20"/>
                <w:lang w:val="hr-HR" w:eastAsia="hr-HR" w:bidi="hr-HR"/>
              </w:rPr>
            </w:pPr>
            <w:r w:rsidRPr="004F1AA1">
              <w:rPr>
                <w:rFonts w:eastAsia="Times New Roman"/>
                <w:sz w:val="20"/>
                <w:szCs w:val="20"/>
                <w:lang w:val="hr-HR" w:eastAsia="hr-HR" w:bidi="hr-HR"/>
              </w:rPr>
              <w:t>- KOŠNICE PČELA</w:t>
            </w:r>
          </w:p>
        </w:tc>
        <w:tc>
          <w:tcPr>
            <w:tcW w:w="2158" w:type="dxa"/>
            <w:noWrap/>
            <w:tcMar>
              <w:left w:w="29" w:type="dxa"/>
              <w:right w:w="29" w:type="dxa"/>
            </w:tcMar>
          </w:tcPr>
          <w:p w:rsidR="006B4F05" w:rsidRPr="004F1AA1" w:rsidRDefault="006B4F05" w:rsidP="005F6F10">
            <w:pPr>
              <w:widowControl w:val="0"/>
              <w:suppressAutoHyphens/>
              <w:kinsoku w:val="0"/>
              <w:overflowPunct w:val="0"/>
              <w:spacing w:before="20" w:after="20"/>
              <w:ind w:right="576"/>
              <w:jc w:val="right"/>
              <w:textAlignment w:val="baseline"/>
              <w:rPr>
                <w:rFonts w:eastAsia="Times New Roman"/>
                <w:sz w:val="20"/>
                <w:szCs w:val="20"/>
                <w:lang w:val="hr-HR" w:eastAsia="hr-HR" w:bidi="hr-HR"/>
              </w:rPr>
            </w:pPr>
            <w:r w:rsidRPr="004F1AA1">
              <w:rPr>
                <w:rFonts w:eastAsia="Times New Roman"/>
                <w:sz w:val="20"/>
                <w:szCs w:val="20"/>
                <w:lang w:val="hr-HR" w:eastAsia="hr-HR" w:bidi="hr-HR"/>
              </w:rPr>
              <w:t>1</w:t>
            </w:r>
            <w:r w:rsidR="007536DA" w:rsidRPr="004F1AA1">
              <w:rPr>
                <w:rFonts w:eastAsia="Times New Roman"/>
                <w:sz w:val="20"/>
                <w:szCs w:val="20"/>
                <w:lang w:val="hr-HR" w:eastAsia="hr-HR" w:bidi="hr-HR"/>
              </w:rPr>
              <w:t>.</w:t>
            </w:r>
            <w:r w:rsidRPr="004F1AA1">
              <w:rPr>
                <w:rFonts w:eastAsia="Times New Roman"/>
                <w:sz w:val="20"/>
                <w:szCs w:val="20"/>
                <w:lang w:val="hr-HR" w:eastAsia="hr-HR" w:bidi="hr-HR"/>
              </w:rPr>
              <w:t>900</w:t>
            </w:r>
          </w:p>
        </w:tc>
      </w:tr>
    </w:tbl>
    <w:p w:rsidR="00A04E91" w:rsidRPr="004F1AA1" w:rsidRDefault="00BC7C4C" w:rsidP="00AD59CB">
      <w:pPr>
        <w:pStyle w:val="Izvorpodataka"/>
        <w:rPr>
          <w:lang w:bidi="hr-HR"/>
        </w:rPr>
      </w:pPr>
      <w:r w:rsidRPr="004F1AA1">
        <w:rPr>
          <w:lang w:bidi="hr-HR"/>
        </w:rPr>
        <w:t>Izvor:</w:t>
      </w:r>
      <w:r w:rsidR="00A04E91" w:rsidRPr="004F1AA1">
        <w:rPr>
          <w:lang w:bidi="hr-HR"/>
        </w:rPr>
        <w:t xml:space="preserve"> Veterinarska stanica Kalesija</w:t>
      </w:r>
      <w:r w:rsidR="00130A20" w:rsidRPr="004F1AA1">
        <w:rPr>
          <w:lang w:bidi="hr-HR"/>
        </w:rPr>
        <w:t xml:space="preserve"> (januar 2017. godine)</w:t>
      </w:r>
    </w:p>
    <w:p w:rsidR="00E0060B" w:rsidRPr="004F1AA1" w:rsidRDefault="006B4F05" w:rsidP="00750FA5">
      <w:pPr>
        <w:rPr>
          <w:lang w:val="hr-HR" w:eastAsia="hr-HR" w:bidi="hr-HR"/>
        </w:rPr>
      </w:pPr>
      <w:r w:rsidRPr="005F5DCD">
        <w:rPr>
          <w:lang w:val="hr-HR" w:eastAsia="hr-HR" w:bidi="hr-HR"/>
        </w:rPr>
        <w:t>Nosioc poljoprivrednog razvoja na području općine Kalesija je Farma Spreča Vukovije Donje</w:t>
      </w:r>
      <w:r w:rsidR="004F1AA1">
        <w:rPr>
          <w:lang w:val="hr-HR" w:eastAsia="hr-HR" w:bidi="hr-HR"/>
        </w:rPr>
        <w:t>,</w:t>
      </w:r>
      <w:r w:rsidRPr="005F5DCD">
        <w:rPr>
          <w:lang w:val="hr-HR" w:eastAsia="hr-HR" w:bidi="hr-HR"/>
        </w:rPr>
        <w:t xml:space="preserve"> koja </w:t>
      </w:r>
      <w:r w:rsidR="004F1AA1">
        <w:rPr>
          <w:lang w:val="hr-HR" w:eastAsia="hr-HR" w:bidi="hr-HR"/>
        </w:rPr>
        <w:t>dnevno proizvodi oko 20.</w:t>
      </w:r>
      <w:r w:rsidRPr="005F5DCD">
        <w:rPr>
          <w:lang w:val="hr-HR" w:eastAsia="hr-HR" w:bidi="hr-HR"/>
        </w:rPr>
        <w:t>000 litara mlijeka i raspolaže sa preko 1</w:t>
      </w:r>
      <w:r w:rsidR="004F1AA1">
        <w:rPr>
          <w:lang w:val="hr-HR" w:eastAsia="hr-HR" w:bidi="hr-HR"/>
        </w:rPr>
        <w:t>.</w:t>
      </w:r>
      <w:r w:rsidRPr="005F5DCD">
        <w:rPr>
          <w:lang w:val="hr-HR" w:eastAsia="hr-HR" w:bidi="hr-HR"/>
        </w:rPr>
        <w:t>500 grla</w:t>
      </w:r>
      <w:r w:rsidR="004F1AA1">
        <w:rPr>
          <w:lang w:val="hr-HR" w:eastAsia="hr-HR" w:bidi="hr-HR"/>
        </w:rPr>
        <w:t>,</w:t>
      </w:r>
      <w:r w:rsidRPr="005F5DCD">
        <w:rPr>
          <w:lang w:val="hr-HR" w:eastAsia="hr-HR" w:bidi="hr-HR"/>
        </w:rPr>
        <w:t xml:space="preserve"> od kojih je 800 visokokvalitetnih krava.</w:t>
      </w:r>
      <w:r>
        <w:rPr>
          <w:lang w:val="hr-HR" w:eastAsia="hr-HR" w:bidi="hr-HR"/>
        </w:rPr>
        <w:t xml:space="preserve"> </w:t>
      </w:r>
      <w:r w:rsidR="00A04E91">
        <w:rPr>
          <w:lang w:val="hr-HR" w:eastAsia="hr-HR" w:bidi="hr-HR"/>
        </w:rPr>
        <w:t>I</w:t>
      </w:r>
      <w:r w:rsidRPr="005F5DCD">
        <w:rPr>
          <w:lang w:val="hr-HR" w:eastAsia="hr-HR" w:bidi="hr-HR"/>
        </w:rPr>
        <w:t>sto preduzeće obrađuje 1</w:t>
      </w:r>
      <w:r w:rsidR="004F1AA1">
        <w:rPr>
          <w:lang w:val="hr-HR" w:eastAsia="hr-HR" w:bidi="hr-HR"/>
        </w:rPr>
        <w:t>.</w:t>
      </w:r>
      <w:r w:rsidRPr="005F5DCD">
        <w:rPr>
          <w:lang w:val="hr-HR" w:eastAsia="hr-HR" w:bidi="hr-HR"/>
        </w:rPr>
        <w:t xml:space="preserve">100 </w:t>
      </w:r>
      <w:r>
        <w:rPr>
          <w:lang w:val="hr-HR" w:eastAsia="hr-HR" w:bidi="hr-HR"/>
        </w:rPr>
        <w:t xml:space="preserve">ha državnog zemljišta </w:t>
      </w:r>
      <w:r w:rsidRPr="005F5DCD">
        <w:rPr>
          <w:lang w:val="hr-HR" w:eastAsia="hr-HR" w:bidi="hr-HR"/>
        </w:rPr>
        <w:t>koje je zasijano ratarskim kulturama.</w:t>
      </w:r>
      <w:r w:rsidR="00A04E91">
        <w:rPr>
          <w:lang w:val="hr-HR" w:eastAsia="hr-HR" w:bidi="hr-HR"/>
        </w:rPr>
        <w:t xml:space="preserve"> </w:t>
      </w:r>
      <w:r w:rsidRPr="005F5DCD">
        <w:rPr>
          <w:lang w:val="hr-HR" w:eastAsia="hr-HR" w:bidi="hr-HR"/>
        </w:rPr>
        <w:t xml:space="preserve">Farma Jajić Vukovije Donje raspolaže </w:t>
      </w:r>
      <w:r w:rsidR="00A04E91">
        <w:rPr>
          <w:lang w:val="hr-HR" w:eastAsia="hr-HR" w:bidi="hr-HR"/>
        </w:rPr>
        <w:t xml:space="preserve">sa </w:t>
      </w:r>
      <w:r w:rsidRPr="005F5DCD">
        <w:rPr>
          <w:lang w:val="hr-HR" w:eastAsia="hr-HR" w:bidi="hr-HR"/>
        </w:rPr>
        <w:t>preko 100 grla od kojih je 60 muznih krava i obrađuje 80 ha državnog zemljišta.</w:t>
      </w:r>
      <w:r w:rsidR="004F1AA1">
        <w:rPr>
          <w:lang w:val="hr-HR" w:eastAsia="hr-HR" w:bidi="hr-HR"/>
        </w:rPr>
        <w:t xml:space="preserve"> </w:t>
      </w:r>
      <w:r w:rsidR="00FA6527" w:rsidRPr="005F5DCD">
        <w:rPr>
          <w:lang w:val="hr-HR" w:eastAsia="hr-HR" w:bidi="hr-HR"/>
        </w:rPr>
        <w:t xml:space="preserve">Nosioci </w:t>
      </w:r>
      <w:r w:rsidR="00FA6527" w:rsidRPr="00EE353E">
        <w:rPr>
          <w:lang w:val="hr-HR" w:eastAsia="hr-HR" w:bidi="hr-HR"/>
        </w:rPr>
        <w:t>razvoja u peradarstvu su privatne farme</w:t>
      </w:r>
      <w:r w:rsidR="001233D2" w:rsidRPr="00EE353E">
        <w:rPr>
          <w:lang w:val="hr-HR" w:eastAsia="hr-HR" w:bidi="hr-HR"/>
        </w:rPr>
        <w:t xml:space="preserve">, prikazane u tabeli </w:t>
      </w:r>
      <w:r w:rsidR="00EE353E" w:rsidRPr="00EE353E">
        <w:rPr>
          <w:lang w:val="hr-HR" w:eastAsia="hr-HR" w:bidi="hr-HR"/>
        </w:rPr>
        <w:t>6</w:t>
      </w:r>
      <w:r w:rsidR="001233D2" w:rsidRPr="00EE353E">
        <w:rPr>
          <w:lang w:val="hr-HR" w:eastAsia="hr-HR" w:bidi="hr-HR"/>
        </w:rPr>
        <w:t>.</w:t>
      </w:r>
    </w:p>
    <w:p w:rsidR="00B80D70" w:rsidRPr="00E0060B" w:rsidRDefault="00D26304" w:rsidP="00AD59CB">
      <w:pPr>
        <w:pStyle w:val="GrafiTabele"/>
        <w:rPr>
          <w:highlight w:val="yellow"/>
        </w:rPr>
      </w:pPr>
      <w:r>
        <w:rPr>
          <w:rFonts w:eastAsia="Times New Roman"/>
          <w:szCs w:val="24"/>
        </w:rPr>
        <w:t xml:space="preserve">Tabela </w:t>
      </w:r>
      <w:r w:rsidR="00EE353E">
        <w:rPr>
          <w:rFonts w:eastAsia="Times New Roman"/>
          <w:szCs w:val="24"/>
        </w:rPr>
        <w:t>6</w:t>
      </w:r>
      <w:r w:rsidR="00B80D70" w:rsidRPr="00FA6527">
        <w:rPr>
          <w:rFonts w:eastAsia="Times New Roman"/>
          <w:szCs w:val="24"/>
        </w:rPr>
        <w:t>:</w:t>
      </w:r>
      <w:r w:rsidR="00FA6527" w:rsidRPr="00FA6527">
        <w:t xml:space="preserve"> Nosioc</w:t>
      </w:r>
      <w:r w:rsidR="001233D2">
        <w:t>i razvoja u peradarstvu na području općine Kalesija 2017 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3114"/>
      </w:tblGrid>
      <w:tr w:rsidR="00A35ECC" w:rsidRPr="004F1AA1" w:rsidTr="004F1AA1">
        <w:trPr>
          <w:jc w:val="center"/>
        </w:trPr>
        <w:tc>
          <w:tcPr>
            <w:tcW w:w="4644" w:type="dxa"/>
            <w:shd w:val="clear" w:color="auto" w:fill="D9D9D9" w:themeFill="background1" w:themeFillShade="D9"/>
            <w:vAlign w:val="center"/>
          </w:tcPr>
          <w:p w:rsidR="00A35ECC" w:rsidRPr="004F1AA1" w:rsidRDefault="00A35ECC" w:rsidP="005F6F10">
            <w:pPr>
              <w:spacing w:before="20" w:after="20"/>
              <w:jc w:val="center"/>
              <w:rPr>
                <w:b/>
                <w:sz w:val="20"/>
              </w:rPr>
            </w:pPr>
            <w:r w:rsidRPr="004F1AA1">
              <w:rPr>
                <w:b/>
                <w:sz w:val="20"/>
              </w:rPr>
              <w:t>NAZIV FARME</w:t>
            </w:r>
          </w:p>
        </w:tc>
        <w:tc>
          <w:tcPr>
            <w:tcW w:w="3114" w:type="dxa"/>
            <w:shd w:val="clear" w:color="auto" w:fill="D9D9D9" w:themeFill="background1" w:themeFillShade="D9"/>
            <w:vAlign w:val="center"/>
          </w:tcPr>
          <w:p w:rsidR="00A35ECC" w:rsidRPr="004F1AA1" w:rsidRDefault="00A35ECC" w:rsidP="005F6F10">
            <w:pPr>
              <w:spacing w:before="20" w:after="20"/>
              <w:jc w:val="center"/>
              <w:rPr>
                <w:b/>
                <w:sz w:val="20"/>
              </w:rPr>
            </w:pPr>
            <w:r w:rsidRPr="004F1AA1">
              <w:rPr>
                <w:b/>
                <w:sz w:val="20"/>
              </w:rPr>
              <w:t>KAPACITET KOM. - U TURNUSU</w:t>
            </w:r>
          </w:p>
        </w:tc>
      </w:tr>
      <w:tr w:rsidR="00A35ECC" w:rsidRPr="004F1AA1" w:rsidTr="00E0060B">
        <w:trPr>
          <w:jc w:val="center"/>
        </w:trPr>
        <w:tc>
          <w:tcPr>
            <w:tcW w:w="4644" w:type="dxa"/>
          </w:tcPr>
          <w:p w:rsidR="00A35ECC" w:rsidRPr="004F1AA1" w:rsidRDefault="00A35ECC" w:rsidP="005F6F10">
            <w:pPr>
              <w:spacing w:before="20" w:after="20"/>
              <w:rPr>
                <w:sz w:val="20"/>
              </w:rPr>
            </w:pPr>
            <w:r w:rsidRPr="004F1AA1">
              <w:rPr>
                <w:sz w:val="20"/>
              </w:rPr>
              <w:t>DOO Zlatno jato  - G. Vukovije</w:t>
            </w:r>
          </w:p>
        </w:tc>
        <w:tc>
          <w:tcPr>
            <w:tcW w:w="3114" w:type="dxa"/>
          </w:tcPr>
          <w:p w:rsidR="00A35ECC" w:rsidRPr="004F1AA1" w:rsidRDefault="00A35ECC" w:rsidP="005F6F10">
            <w:pPr>
              <w:spacing w:before="20" w:after="20"/>
              <w:jc w:val="center"/>
              <w:rPr>
                <w:sz w:val="20"/>
              </w:rPr>
            </w:pPr>
            <w:r w:rsidRPr="004F1AA1">
              <w:rPr>
                <w:sz w:val="20"/>
              </w:rPr>
              <w:t>16.000</w:t>
            </w:r>
          </w:p>
        </w:tc>
      </w:tr>
      <w:tr w:rsidR="00A35ECC" w:rsidRPr="004F1AA1" w:rsidTr="00E0060B">
        <w:trPr>
          <w:jc w:val="center"/>
        </w:trPr>
        <w:tc>
          <w:tcPr>
            <w:tcW w:w="4644" w:type="dxa"/>
          </w:tcPr>
          <w:p w:rsidR="00A35ECC" w:rsidRPr="004F1AA1" w:rsidRDefault="00A35ECC" w:rsidP="005F6F10">
            <w:pPr>
              <w:spacing w:before="20" w:after="20"/>
              <w:rPr>
                <w:sz w:val="20"/>
              </w:rPr>
            </w:pPr>
            <w:r w:rsidRPr="004F1AA1">
              <w:rPr>
                <w:sz w:val="20"/>
              </w:rPr>
              <w:t>DOO Crnobarska koka  - D. Rainci</w:t>
            </w:r>
          </w:p>
        </w:tc>
        <w:tc>
          <w:tcPr>
            <w:tcW w:w="3114" w:type="dxa"/>
          </w:tcPr>
          <w:p w:rsidR="00A35ECC" w:rsidRPr="004F1AA1" w:rsidRDefault="00A35ECC" w:rsidP="005F6F10">
            <w:pPr>
              <w:spacing w:before="20" w:after="20"/>
              <w:jc w:val="center"/>
              <w:rPr>
                <w:sz w:val="20"/>
              </w:rPr>
            </w:pPr>
            <w:r w:rsidRPr="004F1AA1">
              <w:rPr>
                <w:sz w:val="20"/>
              </w:rPr>
              <w:t>16.000</w:t>
            </w:r>
          </w:p>
        </w:tc>
      </w:tr>
      <w:tr w:rsidR="00A35ECC" w:rsidRPr="004F1AA1" w:rsidTr="00E0060B">
        <w:trPr>
          <w:jc w:val="center"/>
        </w:trPr>
        <w:tc>
          <w:tcPr>
            <w:tcW w:w="4644" w:type="dxa"/>
          </w:tcPr>
          <w:p w:rsidR="00A35ECC" w:rsidRPr="004F1AA1" w:rsidRDefault="00A35ECC" w:rsidP="005F6F10">
            <w:pPr>
              <w:spacing w:before="20" w:after="20"/>
              <w:rPr>
                <w:sz w:val="20"/>
              </w:rPr>
            </w:pPr>
            <w:r w:rsidRPr="004F1AA1">
              <w:rPr>
                <w:sz w:val="20"/>
              </w:rPr>
              <w:t>DSO Farma Požegić   - Vukovije D</w:t>
            </w:r>
          </w:p>
        </w:tc>
        <w:tc>
          <w:tcPr>
            <w:tcW w:w="3114" w:type="dxa"/>
          </w:tcPr>
          <w:p w:rsidR="00A35ECC" w:rsidRPr="004F1AA1" w:rsidRDefault="00A35ECC" w:rsidP="005F6F10">
            <w:pPr>
              <w:spacing w:before="20" w:after="20"/>
              <w:jc w:val="center"/>
              <w:rPr>
                <w:sz w:val="20"/>
              </w:rPr>
            </w:pPr>
            <w:r w:rsidRPr="004F1AA1">
              <w:rPr>
                <w:sz w:val="20"/>
              </w:rPr>
              <w:t>60.000</w:t>
            </w:r>
          </w:p>
        </w:tc>
      </w:tr>
      <w:tr w:rsidR="00A35ECC" w:rsidRPr="004F1AA1" w:rsidTr="00E0060B">
        <w:trPr>
          <w:jc w:val="center"/>
        </w:trPr>
        <w:tc>
          <w:tcPr>
            <w:tcW w:w="4644" w:type="dxa"/>
          </w:tcPr>
          <w:p w:rsidR="00A35ECC" w:rsidRPr="004F1AA1" w:rsidRDefault="00A35ECC" w:rsidP="005F6F10">
            <w:pPr>
              <w:spacing w:before="20" w:after="20"/>
              <w:rPr>
                <w:sz w:val="20"/>
              </w:rPr>
            </w:pPr>
            <w:r w:rsidRPr="004F1AA1">
              <w:rPr>
                <w:sz w:val="20"/>
              </w:rPr>
              <w:t>DSO Hercegovac  - D. Vukvije</w:t>
            </w:r>
          </w:p>
        </w:tc>
        <w:tc>
          <w:tcPr>
            <w:tcW w:w="3114" w:type="dxa"/>
          </w:tcPr>
          <w:p w:rsidR="00A35ECC" w:rsidRPr="004F1AA1" w:rsidRDefault="00A35ECC" w:rsidP="005F6F10">
            <w:pPr>
              <w:spacing w:before="20" w:after="20"/>
              <w:jc w:val="center"/>
              <w:rPr>
                <w:sz w:val="20"/>
              </w:rPr>
            </w:pPr>
            <w:r w:rsidRPr="004F1AA1">
              <w:rPr>
                <w:sz w:val="20"/>
              </w:rPr>
              <w:t>12.000</w:t>
            </w:r>
          </w:p>
        </w:tc>
      </w:tr>
      <w:tr w:rsidR="00A35ECC" w:rsidRPr="004F1AA1" w:rsidTr="00E0060B">
        <w:trPr>
          <w:jc w:val="center"/>
        </w:trPr>
        <w:tc>
          <w:tcPr>
            <w:tcW w:w="4644" w:type="dxa"/>
          </w:tcPr>
          <w:p w:rsidR="00A35ECC" w:rsidRPr="004F1AA1" w:rsidRDefault="00A35ECC" w:rsidP="005F6F10">
            <w:pPr>
              <w:spacing w:before="20" w:after="20"/>
              <w:rPr>
                <w:sz w:val="20"/>
              </w:rPr>
            </w:pPr>
            <w:r w:rsidRPr="004F1AA1">
              <w:rPr>
                <w:sz w:val="20"/>
              </w:rPr>
              <w:t>DSO Bijelo Jato- Vukovije D</w:t>
            </w:r>
            <w:r w:rsidR="0083266D" w:rsidRPr="004F1AA1">
              <w:rPr>
                <w:sz w:val="20"/>
              </w:rPr>
              <w:t>.</w:t>
            </w:r>
          </w:p>
        </w:tc>
        <w:tc>
          <w:tcPr>
            <w:tcW w:w="3114" w:type="dxa"/>
          </w:tcPr>
          <w:p w:rsidR="00A35ECC" w:rsidRPr="004F1AA1" w:rsidRDefault="00A35ECC" w:rsidP="005F6F10">
            <w:pPr>
              <w:spacing w:before="20" w:after="20"/>
              <w:jc w:val="center"/>
              <w:rPr>
                <w:sz w:val="20"/>
              </w:rPr>
            </w:pPr>
            <w:r w:rsidRPr="004F1AA1">
              <w:rPr>
                <w:sz w:val="20"/>
              </w:rPr>
              <w:t>18.000</w:t>
            </w:r>
          </w:p>
        </w:tc>
      </w:tr>
      <w:tr w:rsidR="00A35ECC" w:rsidRPr="004F1AA1" w:rsidTr="00E0060B">
        <w:trPr>
          <w:jc w:val="center"/>
        </w:trPr>
        <w:tc>
          <w:tcPr>
            <w:tcW w:w="4644" w:type="dxa"/>
          </w:tcPr>
          <w:p w:rsidR="00A35ECC" w:rsidRPr="004F1AA1" w:rsidRDefault="00A35ECC" w:rsidP="005F6F10">
            <w:pPr>
              <w:spacing w:before="20" w:after="20"/>
              <w:rPr>
                <w:sz w:val="20"/>
              </w:rPr>
            </w:pPr>
            <w:r w:rsidRPr="004F1AA1">
              <w:rPr>
                <w:sz w:val="20"/>
              </w:rPr>
              <w:t>DSO Farma Tupaja –Vukovije G</w:t>
            </w:r>
          </w:p>
        </w:tc>
        <w:tc>
          <w:tcPr>
            <w:tcW w:w="3114" w:type="dxa"/>
          </w:tcPr>
          <w:p w:rsidR="00A35ECC" w:rsidRPr="004F1AA1" w:rsidRDefault="00A35ECC" w:rsidP="005F6F10">
            <w:pPr>
              <w:spacing w:before="20" w:after="20"/>
              <w:jc w:val="center"/>
              <w:rPr>
                <w:sz w:val="20"/>
              </w:rPr>
            </w:pPr>
            <w:r w:rsidRPr="004F1AA1">
              <w:rPr>
                <w:sz w:val="20"/>
              </w:rPr>
              <w:t>6.000</w:t>
            </w:r>
          </w:p>
        </w:tc>
      </w:tr>
      <w:tr w:rsidR="00A35ECC" w:rsidRPr="004F1AA1" w:rsidTr="00E0060B">
        <w:trPr>
          <w:jc w:val="center"/>
        </w:trPr>
        <w:tc>
          <w:tcPr>
            <w:tcW w:w="4644" w:type="dxa"/>
          </w:tcPr>
          <w:p w:rsidR="00A35ECC" w:rsidRPr="004F1AA1" w:rsidRDefault="00A35ECC" w:rsidP="005F6F10">
            <w:pPr>
              <w:spacing w:before="20" w:after="20"/>
              <w:rPr>
                <w:sz w:val="20"/>
              </w:rPr>
            </w:pPr>
            <w:r w:rsidRPr="004F1AA1">
              <w:rPr>
                <w:sz w:val="20"/>
              </w:rPr>
              <w:t>DOO Farma Tučić- Tojšići</w:t>
            </w:r>
          </w:p>
        </w:tc>
        <w:tc>
          <w:tcPr>
            <w:tcW w:w="3114" w:type="dxa"/>
          </w:tcPr>
          <w:p w:rsidR="00A35ECC" w:rsidRPr="004F1AA1" w:rsidRDefault="00A35ECC" w:rsidP="005F6F10">
            <w:pPr>
              <w:spacing w:before="20" w:after="20"/>
              <w:jc w:val="center"/>
              <w:rPr>
                <w:sz w:val="20"/>
              </w:rPr>
            </w:pPr>
            <w:r w:rsidRPr="004F1AA1">
              <w:rPr>
                <w:sz w:val="20"/>
              </w:rPr>
              <w:t>8.000</w:t>
            </w:r>
          </w:p>
        </w:tc>
      </w:tr>
      <w:tr w:rsidR="00A35ECC" w:rsidRPr="004F1AA1" w:rsidTr="00E0060B">
        <w:trPr>
          <w:jc w:val="center"/>
        </w:trPr>
        <w:tc>
          <w:tcPr>
            <w:tcW w:w="4644" w:type="dxa"/>
          </w:tcPr>
          <w:p w:rsidR="00A35ECC" w:rsidRPr="004F1AA1" w:rsidRDefault="00A35ECC" w:rsidP="005F6F10">
            <w:pPr>
              <w:spacing w:before="20" w:after="20"/>
              <w:rPr>
                <w:sz w:val="20"/>
              </w:rPr>
            </w:pPr>
            <w:r w:rsidRPr="004F1AA1">
              <w:rPr>
                <w:sz w:val="20"/>
              </w:rPr>
              <w:t>Inkubatorska stanica “Sašes” Kikači</w:t>
            </w:r>
          </w:p>
        </w:tc>
        <w:tc>
          <w:tcPr>
            <w:tcW w:w="3114" w:type="dxa"/>
          </w:tcPr>
          <w:p w:rsidR="00A35ECC" w:rsidRPr="004F1AA1" w:rsidRDefault="00A35ECC" w:rsidP="005F6F10">
            <w:pPr>
              <w:spacing w:before="20" w:after="20"/>
              <w:jc w:val="center"/>
              <w:rPr>
                <w:sz w:val="20"/>
              </w:rPr>
            </w:pPr>
            <w:r w:rsidRPr="004F1AA1">
              <w:rPr>
                <w:sz w:val="20"/>
              </w:rPr>
              <w:t>100.000</w:t>
            </w:r>
          </w:p>
        </w:tc>
      </w:tr>
    </w:tbl>
    <w:p w:rsidR="00FE7CD8" w:rsidRPr="004F1AA1" w:rsidRDefault="00BC7C4C" w:rsidP="00AD59CB">
      <w:pPr>
        <w:pStyle w:val="Izvorpodataka"/>
        <w:rPr>
          <w:lang w:bidi="hr-HR"/>
        </w:rPr>
      </w:pPr>
      <w:r w:rsidRPr="004F1AA1">
        <w:rPr>
          <w:b/>
          <w:lang w:bidi="hr-HR"/>
        </w:rPr>
        <w:t>Izvor:</w:t>
      </w:r>
      <w:r w:rsidR="001233D2" w:rsidRPr="004F1AA1">
        <w:rPr>
          <w:lang w:bidi="hr-HR"/>
        </w:rPr>
        <w:t xml:space="preserve"> Služba za poljoprivredu općine Kalesija </w:t>
      </w:r>
    </w:p>
    <w:p w:rsidR="004F1AA1" w:rsidRDefault="00FE7CD8" w:rsidP="00A01D01">
      <w:pPr>
        <w:rPr>
          <w:lang w:val="hr-HR" w:eastAsia="hr-HR" w:bidi="hr-HR"/>
        </w:rPr>
      </w:pPr>
      <w:r w:rsidRPr="005F5DCD">
        <w:rPr>
          <w:lang w:val="hr-HR" w:eastAsia="hr-HR" w:bidi="hr-HR"/>
        </w:rPr>
        <w:t>O zdravstvenom stanju stočnog fonda brinu tri ve</w:t>
      </w:r>
      <w:r>
        <w:rPr>
          <w:lang w:val="hr-HR" w:eastAsia="hr-HR" w:bidi="hr-HR"/>
        </w:rPr>
        <w:t>terinarske stanice.</w:t>
      </w:r>
      <w:r w:rsidR="004F1AA1">
        <w:rPr>
          <w:lang w:val="hr-HR" w:eastAsia="hr-HR" w:bidi="hr-HR"/>
        </w:rPr>
        <w:t xml:space="preserve"> </w:t>
      </w:r>
      <w:r w:rsidRPr="005F5DCD">
        <w:rPr>
          <w:lang w:val="hr-HR" w:eastAsia="hr-HR" w:bidi="hr-HR"/>
        </w:rPr>
        <w:t xml:space="preserve">U okviru rada </w:t>
      </w:r>
      <w:r>
        <w:rPr>
          <w:lang w:val="hr-HR" w:eastAsia="hr-HR" w:bidi="hr-HR"/>
        </w:rPr>
        <w:t xml:space="preserve">resorne općinske </w:t>
      </w:r>
      <w:r w:rsidRPr="005F5DCD">
        <w:rPr>
          <w:lang w:val="hr-HR" w:eastAsia="hr-HR" w:bidi="hr-HR"/>
        </w:rPr>
        <w:t>Službe</w:t>
      </w:r>
      <w:r>
        <w:rPr>
          <w:lang w:val="hr-HR" w:eastAsia="hr-HR" w:bidi="hr-HR"/>
        </w:rPr>
        <w:t>, obezb</w:t>
      </w:r>
      <w:r w:rsidR="004F1AA1">
        <w:rPr>
          <w:lang w:val="hr-HR" w:eastAsia="hr-HR" w:bidi="hr-HR"/>
        </w:rPr>
        <w:t>jeđuje</w:t>
      </w:r>
      <w:r>
        <w:rPr>
          <w:lang w:val="hr-HR" w:eastAsia="hr-HR" w:bidi="hr-HR"/>
        </w:rPr>
        <w:t xml:space="preserve"> se savjetodavna podrška i poticaji poljoprivrednim proizvođačima, kako bi se poboljšao </w:t>
      </w:r>
      <w:r w:rsidRPr="005F5DCD">
        <w:rPr>
          <w:lang w:val="hr-HR" w:eastAsia="hr-HR" w:bidi="hr-HR"/>
        </w:rPr>
        <w:t>tržišni kvalitet poljoprivrednih proizvoda i ispun</w:t>
      </w:r>
      <w:r>
        <w:rPr>
          <w:lang w:val="hr-HR" w:eastAsia="hr-HR" w:bidi="hr-HR"/>
        </w:rPr>
        <w:t>ili</w:t>
      </w:r>
      <w:r w:rsidRPr="005F5DCD">
        <w:rPr>
          <w:lang w:val="hr-HR" w:eastAsia="hr-HR" w:bidi="hr-HR"/>
        </w:rPr>
        <w:t xml:space="preserve"> osnovn</w:t>
      </w:r>
      <w:r>
        <w:rPr>
          <w:lang w:val="hr-HR" w:eastAsia="hr-HR" w:bidi="hr-HR"/>
        </w:rPr>
        <w:t>i</w:t>
      </w:r>
      <w:r w:rsidRPr="005F5DCD">
        <w:rPr>
          <w:lang w:val="hr-HR" w:eastAsia="hr-HR" w:bidi="hr-HR"/>
        </w:rPr>
        <w:t xml:space="preserve"> proizvodn</w:t>
      </w:r>
      <w:r>
        <w:rPr>
          <w:lang w:val="hr-HR" w:eastAsia="hr-HR" w:bidi="hr-HR"/>
        </w:rPr>
        <w:t>i</w:t>
      </w:r>
      <w:r w:rsidRPr="005F5DCD">
        <w:rPr>
          <w:lang w:val="hr-HR" w:eastAsia="hr-HR" w:bidi="hr-HR"/>
        </w:rPr>
        <w:t xml:space="preserve"> standard</w:t>
      </w:r>
      <w:r w:rsidR="00092E44">
        <w:rPr>
          <w:lang w:val="hr-HR" w:eastAsia="hr-HR" w:bidi="hr-HR"/>
        </w:rPr>
        <w:t>i.</w:t>
      </w:r>
    </w:p>
    <w:p w:rsidR="00107E19" w:rsidRPr="00107E19" w:rsidRDefault="00107E19" w:rsidP="00AD59CB">
      <w:pPr>
        <w:pStyle w:val="Heading4"/>
        <w:rPr>
          <w:lang w:val="hr-HR" w:eastAsia="hr-HR" w:bidi="hr-HR"/>
        </w:rPr>
      </w:pPr>
      <w:bookmarkStart w:id="31" w:name="_Toc500140010"/>
      <w:r w:rsidRPr="00107E19">
        <w:rPr>
          <w:lang w:val="hr-HR" w:eastAsia="hr-HR" w:bidi="hr-HR"/>
        </w:rPr>
        <w:t>Voćarstvo</w:t>
      </w:r>
      <w:bookmarkEnd w:id="31"/>
    </w:p>
    <w:p w:rsidR="00107E19" w:rsidRPr="005F5DCD" w:rsidRDefault="00107E19" w:rsidP="00750FA5">
      <w:pPr>
        <w:rPr>
          <w:lang w:val="hr-HR" w:eastAsia="hr-HR" w:bidi="hr-HR"/>
        </w:rPr>
      </w:pPr>
      <w:r>
        <w:rPr>
          <w:lang w:val="hr-HR" w:eastAsia="hr-HR" w:bidi="hr-HR"/>
        </w:rPr>
        <w:t xml:space="preserve">U </w:t>
      </w:r>
      <w:r>
        <w:rPr>
          <w:lang w:eastAsia="hr-HR" w:bidi="hr-HR"/>
        </w:rPr>
        <w:t>voćarskoj proizvodnji</w:t>
      </w:r>
      <w:r w:rsidRPr="00107E19">
        <w:rPr>
          <w:lang w:val="hr-HR" w:eastAsia="hr-HR" w:bidi="hr-HR"/>
        </w:rPr>
        <w:t xml:space="preserve"> </w:t>
      </w:r>
      <w:r>
        <w:rPr>
          <w:lang w:val="hr-HR" w:eastAsia="hr-HR" w:bidi="hr-HR"/>
        </w:rPr>
        <w:t>d</w:t>
      </w:r>
      <w:r w:rsidRPr="00437CA3">
        <w:rPr>
          <w:lang w:val="hr-HR" w:eastAsia="hr-HR" w:bidi="hr-HR"/>
        </w:rPr>
        <w:t>ominiraju</w:t>
      </w:r>
      <w:r>
        <w:rPr>
          <w:lang w:val="hr-HR" w:eastAsia="hr-HR" w:bidi="hr-HR"/>
        </w:rPr>
        <w:t xml:space="preserve"> nasadi š</w:t>
      </w:r>
      <w:r w:rsidRPr="005F5DCD">
        <w:rPr>
          <w:lang w:val="hr-HR" w:eastAsia="hr-HR" w:bidi="hr-HR"/>
        </w:rPr>
        <w:t>ljive,</w:t>
      </w:r>
      <w:r>
        <w:rPr>
          <w:lang w:val="hr-HR" w:eastAsia="hr-HR" w:bidi="hr-HR"/>
        </w:rPr>
        <w:t xml:space="preserve"> jabuke i</w:t>
      </w:r>
      <w:r w:rsidRPr="005F5DCD">
        <w:rPr>
          <w:lang w:val="hr-HR" w:eastAsia="hr-HR" w:bidi="hr-HR"/>
        </w:rPr>
        <w:t xml:space="preserve"> kru</w:t>
      </w:r>
      <w:r>
        <w:rPr>
          <w:lang w:val="hr-HR" w:eastAsia="hr-HR" w:bidi="hr-HR"/>
        </w:rPr>
        <w:t>ške</w:t>
      </w:r>
      <w:r w:rsidRPr="005F5DCD">
        <w:rPr>
          <w:lang w:val="hr-HR" w:eastAsia="hr-HR" w:bidi="hr-HR"/>
        </w:rPr>
        <w:t>, a u poslednje vrijeme i nasadi maline i jagode.</w:t>
      </w:r>
      <w:r w:rsidR="00CC686E">
        <w:rPr>
          <w:lang w:val="hr-HR" w:eastAsia="hr-HR" w:bidi="hr-HR"/>
        </w:rPr>
        <w:t xml:space="preserve"> </w:t>
      </w:r>
      <w:r w:rsidR="0089141B">
        <w:rPr>
          <w:lang w:val="hr-HR" w:eastAsia="hr-HR" w:bidi="hr-HR"/>
        </w:rPr>
        <w:t>U punom</w:t>
      </w:r>
      <w:r w:rsidR="00CC686E" w:rsidRPr="00CC686E">
        <w:rPr>
          <w:lang w:val="hr-HR" w:eastAsia="hr-HR" w:bidi="hr-HR"/>
        </w:rPr>
        <w:t xml:space="preserve"> rodu sa navedenih plantaža </w:t>
      </w:r>
      <w:r w:rsidR="0089141B">
        <w:rPr>
          <w:lang w:val="hr-HR" w:eastAsia="hr-HR" w:bidi="hr-HR"/>
        </w:rPr>
        <w:t>godišnje se ostvare</w:t>
      </w:r>
      <w:r w:rsidR="00CC686E" w:rsidRPr="00CC686E">
        <w:rPr>
          <w:lang w:val="hr-HR" w:eastAsia="hr-HR" w:bidi="hr-HR"/>
        </w:rPr>
        <w:t xml:space="preserve"> sl</w:t>
      </w:r>
      <w:r w:rsidR="0089141B">
        <w:rPr>
          <w:lang w:val="hr-HR" w:eastAsia="hr-HR" w:bidi="hr-HR"/>
        </w:rPr>
        <w:t>j</w:t>
      </w:r>
      <w:r w:rsidR="00CC686E" w:rsidRPr="00CC686E">
        <w:rPr>
          <w:lang w:val="hr-HR" w:eastAsia="hr-HR" w:bidi="hr-HR"/>
        </w:rPr>
        <w:t>edeći prinosi: jabuka 160 t,</w:t>
      </w:r>
      <w:r w:rsidR="00CC686E">
        <w:rPr>
          <w:lang w:val="hr-HR" w:eastAsia="hr-HR" w:bidi="hr-HR"/>
        </w:rPr>
        <w:t xml:space="preserve"> </w:t>
      </w:r>
      <w:r w:rsidR="00CC686E" w:rsidRPr="00CC686E">
        <w:rPr>
          <w:lang w:val="hr-HR" w:eastAsia="hr-HR" w:bidi="hr-HR"/>
        </w:rPr>
        <w:t>kruška 70 t,</w:t>
      </w:r>
      <w:r w:rsidR="00CC686E">
        <w:rPr>
          <w:lang w:val="hr-HR" w:eastAsia="hr-HR" w:bidi="hr-HR"/>
        </w:rPr>
        <w:t xml:space="preserve"> </w:t>
      </w:r>
      <w:r w:rsidR="00CC686E" w:rsidRPr="00CC686E">
        <w:rPr>
          <w:lang w:val="hr-HR" w:eastAsia="hr-HR" w:bidi="hr-HR"/>
        </w:rPr>
        <w:t>malina</w:t>
      </w:r>
      <w:r w:rsidR="00CC686E">
        <w:rPr>
          <w:lang w:val="hr-HR" w:eastAsia="hr-HR" w:bidi="hr-HR"/>
        </w:rPr>
        <w:t xml:space="preserve"> </w:t>
      </w:r>
      <w:r w:rsidR="00CC686E" w:rsidRPr="00CC686E">
        <w:rPr>
          <w:lang w:val="hr-HR" w:eastAsia="hr-HR" w:bidi="hr-HR"/>
        </w:rPr>
        <w:t>15 t i jagoda 1,5 t.</w:t>
      </w:r>
      <w:r>
        <w:rPr>
          <w:lang w:val="hr-HR" w:eastAsia="hr-HR" w:bidi="hr-HR"/>
        </w:rPr>
        <w:t xml:space="preserve"> </w:t>
      </w:r>
      <w:r w:rsidRPr="00437CA3">
        <w:rPr>
          <w:lang w:val="hr-HR" w:eastAsia="hr-HR" w:bidi="hr-HR"/>
        </w:rPr>
        <w:t>U posl</w:t>
      </w:r>
      <w:r>
        <w:rPr>
          <w:lang w:val="hr-HR" w:eastAsia="hr-HR" w:bidi="hr-HR"/>
        </w:rPr>
        <w:t>j</w:t>
      </w:r>
      <w:r w:rsidRPr="00437CA3">
        <w:rPr>
          <w:lang w:val="hr-HR" w:eastAsia="hr-HR" w:bidi="hr-HR"/>
        </w:rPr>
        <w:t>ednj</w:t>
      </w:r>
      <w:r>
        <w:rPr>
          <w:lang w:val="hr-HR" w:eastAsia="hr-HR" w:bidi="hr-HR"/>
        </w:rPr>
        <w:t xml:space="preserve">ih nekoliko godina </w:t>
      </w:r>
      <w:r w:rsidRPr="00437CA3">
        <w:rPr>
          <w:lang w:val="hr-HR" w:eastAsia="hr-HR" w:bidi="hr-HR"/>
        </w:rPr>
        <w:t xml:space="preserve">pojačano je interesovanje </w:t>
      </w:r>
      <w:r>
        <w:rPr>
          <w:lang w:val="hr-HR" w:eastAsia="hr-HR" w:bidi="hr-HR"/>
        </w:rPr>
        <w:t>poljoprivrednika</w:t>
      </w:r>
      <w:r w:rsidRPr="00437CA3">
        <w:rPr>
          <w:lang w:val="hr-HR" w:eastAsia="hr-HR" w:bidi="hr-HR"/>
        </w:rPr>
        <w:t xml:space="preserve"> za podizanje vi</w:t>
      </w:r>
      <w:r>
        <w:rPr>
          <w:lang w:val="hr-HR" w:eastAsia="hr-HR" w:bidi="hr-HR"/>
        </w:rPr>
        <w:t>š</w:t>
      </w:r>
      <w:r w:rsidR="0089141B">
        <w:rPr>
          <w:lang w:val="hr-HR" w:eastAsia="hr-HR" w:bidi="hr-HR"/>
        </w:rPr>
        <w:t xml:space="preserve">egodišnjih </w:t>
      </w:r>
      <w:r w:rsidRPr="00437CA3">
        <w:rPr>
          <w:lang w:val="hr-HR" w:eastAsia="hr-HR" w:bidi="hr-HR"/>
        </w:rPr>
        <w:t>nasada vo</w:t>
      </w:r>
      <w:r>
        <w:rPr>
          <w:lang w:val="hr-HR" w:eastAsia="hr-HR" w:bidi="hr-HR"/>
        </w:rPr>
        <w:t>ć</w:t>
      </w:r>
      <w:r w:rsidRPr="00437CA3">
        <w:rPr>
          <w:lang w:val="hr-HR" w:eastAsia="hr-HR" w:bidi="hr-HR"/>
        </w:rPr>
        <w:t>njaka,</w:t>
      </w:r>
      <w:r>
        <w:rPr>
          <w:lang w:val="hr-HR" w:eastAsia="hr-HR" w:bidi="hr-HR"/>
        </w:rPr>
        <w:t xml:space="preserve"> </w:t>
      </w:r>
      <w:r w:rsidRPr="00437CA3">
        <w:rPr>
          <w:lang w:val="hr-HR" w:eastAsia="hr-HR" w:bidi="hr-HR"/>
        </w:rPr>
        <w:t>posebno u sjevernom dijelu op</w:t>
      </w:r>
      <w:r>
        <w:rPr>
          <w:lang w:val="hr-HR" w:eastAsia="hr-HR" w:bidi="hr-HR"/>
        </w:rPr>
        <w:t>ć</w:t>
      </w:r>
      <w:r w:rsidRPr="00437CA3">
        <w:rPr>
          <w:lang w:val="hr-HR" w:eastAsia="hr-HR" w:bidi="hr-HR"/>
        </w:rPr>
        <w:t>ine Kalesija</w:t>
      </w:r>
      <w:r>
        <w:rPr>
          <w:lang w:val="hr-HR" w:eastAsia="hr-HR" w:bidi="hr-HR"/>
        </w:rPr>
        <w:t>,</w:t>
      </w:r>
      <w:r w:rsidRPr="00437CA3">
        <w:rPr>
          <w:lang w:val="hr-HR" w:eastAsia="hr-HR" w:bidi="hr-HR"/>
        </w:rPr>
        <w:t xml:space="preserve"> u pobrežju planine Majevice. </w:t>
      </w:r>
      <w:r w:rsidRPr="005F5DCD">
        <w:rPr>
          <w:lang w:val="hr-HR" w:eastAsia="hr-HR" w:bidi="hr-HR"/>
        </w:rPr>
        <w:t xml:space="preserve">Nosioc razvoja u voćarstvu je DOO Farma Spreča Vukovije Donje koja posjeduje plantaže jabuke </w:t>
      </w:r>
      <w:r>
        <w:rPr>
          <w:lang w:val="hr-HR" w:eastAsia="hr-HR" w:bidi="hr-HR"/>
        </w:rPr>
        <w:t>(</w:t>
      </w:r>
      <w:r w:rsidRPr="005F5DCD">
        <w:rPr>
          <w:lang w:val="hr-HR" w:eastAsia="hr-HR" w:bidi="hr-HR"/>
        </w:rPr>
        <w:t>8 ha</w:t>
      </w:r>
      <w:r>
        <w:rPr>
          <w:lang w:val="hr-HR" w:eastAsia="hr-HR" w:bidi="hr-HR"/>
        </w:rPr>
        <w:t>)</w:t>
      </w:r>
      <w:r w:rsidRPr="005F5DCD">
        <w:rPr>
          <w:lang w:val="hr-HR" w:eastAsia="hr-HR" w:bidi="hr-HR"/>
        </w:rPr>
        <w:t xml:space="preserve">, kruške </w:t>
      </w:r>
      <w:r>
        <w:rPr>
          <w:lang w:val="hr-HR" w:eastAsia="hr-HR" w:bidi="hr-HR"/>
        </w:rPr>
        <w:t>(</w:t>
      </w:r>
      <w:r w:rsidRPr="005F5DCD">
        <w:rPr>
          <w:lang w:val="hr-HR" w:eastAsia="hr-HR" w:bidi="hr-HR"/>
        </w:rPr>
        <w:t>7</w:t>
      </w:r>
      <w:r>
        <w:rPr>
          <w:lang w:val="hr-HR" w:eastAsia="hr-HR" w:bidi="hr-HR"/>
        </w:rPr>
        <w:t xml:space="preserve"> </w:t>
      </w:r>
      <w:r w:rsidRPr="005F5DCD">
        <w:rPr>
          <w:lang w:val="hr-HR" w:eastAsia="hr-HR" w:bidi="hr-HR"/>
        </w:rPr>
        <w:t>ha</w:t>
      </w:r>
      <w:r>
        <w:rPr>
          <w:lang w:val="hr-HR" w:eastAsia="hr-HR" w:bidi="hr-HR"/>
        </w:rPr>
        <w:t>)</w:t>
      </w:r>
      <w:r w:rsidRPr="005F5DCD">
        <w:rPr>
          <w:lang w:val="hr-HR" w:eastAsia="hr-HR" w:bidi="hr-HR"/>
        </w:rPr>
        <w:t xml:space="preserve">, maline </w:t>
      </w:r>
      <w:r>
        <w:rPr>
          <w:lang w:val="hr-HR" w:eastAsia="hr-HR" w:bidi="hr-HR"/>
        </w:rPr>
        <w:t>(</w:t>
      </w:r>
      <w:r w:rsidRPr="005F5DCD">
        <w:rPr>
          <w:lang w:val="hr-HR" w:eastAsia="hr-HR" w:bidi="hr-HR"/>
        </w:rPr>
        <w:t>3</w:t>
      </w:r>
      <w:r>
        <w:rPr>
          <w:lang w:val="hr-HR" w:eastAsia="hr-HR" w:bidi="hr-HR"/>
        </w:rPr>
        <w:t xml:space="preserve"> </w:t>
      </w:r>
      <w:r w:rsidRPr="005F5DCD">
        <w:rPr>
          <w:lang w:val="hr-HR" w:eastAsia="hr-HR" w:bidi="hr-HR"/>
        </w:rPr>
        <w:t>ha</w:t>
      </w:r>
      <w:r>
        <w:rPr>
          <w:lang w:val="hr-HR" w:eastAsia="hr-HR" w:bidi="hr-HR"/>
        </w:rPr>
        <w:t>)</w:t>
      </w:r>
      <w:r w:rsidRPr="005F5DCD">
        <w:rPr>
          <w:lang w:val="hr-HR" w:eastAsia="hr-HR" w:bidi="hr-HR"/>
        </w:rPr>
        <w:t xml:space="preserve"> i jagode </w:t>
      </w:r>
      <w:r>
        <w:rPr>
          <w:lang w:val="hr-HR" w:eastAsia="hr-HR" w:bidi="hr-HR"/>
        </w:rPr>
        <w:t>(</w:t>
      </w:r>
      <w:r w:rsidRPr="005F5DCD">
        <w:rPr>
          <w:lang w:val="hr-HR" w:eastAsia="hr-HR" w:bidi="hr-HR"/>
        </w:rPr>
        <w:t>0,25</w:t>
      </w:r>
      <w:r>
        <w:rPr>
          <w:lang w:val="hr-HR" w:eastAsia="hr-HR" w:bidi="hr-HR"/>
        </w:rPr>
        <w:t xml:space="preserve"> </w:t>
      </w:r>
      <w:r w:rsidRPr="005F5DCD">
        <w:rPr>
          <w:lang w:val="hr-HR" w:eastAsia="hr-HR" w:bidi="hr-HR"/>
        </w:rPr>
        <w:t>ha</w:t>
      </w:r>
      <w:r>
        <w:rPr>
          <w:lang w:val="hr-HR" w:eastAsia="hr-HR" w:bidi="hr-HR"/>
        </w:rPr>
        <w:t>)</w:t>
      </w:r>
      <w:r w:rsidRPr="005F5DCD">
        <w:rPr>
          <w:lang w:val="hr-HR" w:eastAsia="hr-HR" w:bidi="hr-HR"/>
        </w:rPr>
        <w:t>.</w:t>
      </w:r>
    </w:p>
    <w:p w:rsidR="00107E19" w:rsidRDefault="00107E19" w:rsidP="00A01D01">
      <w:pPr>
        <w:rPr>
          <w:lang w:val="hr-HR" w:eastAsia="hr-HR" w:bidi="hr-HR"/>
        </w:rPr>
      </w:pPr>
      <w:r>
        <w:rPr>
          <w:lang w:val="hr-HR" w:eastAsia="hr-HR" w:bidi="hr-HR"/>
        </w:rPr>
        <w:t>Voćarstvu</w:t>
      </w:r>
      <w:r w:rsidRPr="005F5DCD">
        <w:rPr>
          <w:lang w:val="hr-HR" w:eastAsia="hr-HR" w:bidi="hr-HR"/>
        </w:rPr>
        <w:t xml:space="preserve"> bi se trebao pridavati veliki značaj iz razloga što se u okruženju</w:t>
      </w:r>
      <w:r w:rsidR="00796265">
        <w:rPr>
          <w:lang w:val="hr-HR" w:eastAsia="hr-HR" w:bidi="hr-HR"/>
        </w:rPr>
        <w:t>,</w:t>
      </w:r>
      <w:r w:rsidRPr="005F5DCD">
        <w:rPr>
          <w:lang w:val="hr-HR" w:eastAsia="hr-HR" w:bidi="hr-HR"/>
        </w:rPr>
        <w:t xml:space="preserve"> tj. susjednim općinama </w:t>
      </w:r>
      <w:r w:rsidR="00796265">
        <w:rPr>
          <w:lang w:val="hr-HR" w:eastAsia="hr-HR" w:bidi="hr-HR"/>
        </w:rPr>
        <w:t xml:space="preserve">(Srebrenik, Čelić i Sapna), </w:t>
      </w:r>
      <w:r w:rsidRPr="005F5DCD">
        <w:rPr>
          <w:lang w:val="hr-HR" w:eastAsia="hr-HR" w:bidi="hr-HR"/>
        </w:rPr>
        <w:t>nalaze rasadnici voća</w:t>
      </w:r>
      <w:r w:rsidR="00796265">
        <w:rPr>
          <w:lang w:val="hr-HR" w:eastAsia="hr-HR" w:bidi="hr-HR"/>
        </w:rPr>
        <w:t xml:space="preserve"> i</w:t>
      </w:r>
      <w:r w:rsidRPr="005F5DCD">
        <w:rPr>
          <w:lang w:val="hr-HR" w:eastAsia="hr-HR" w:bidi="hr-HR"/>
        </w:rPr>
        <w:t xml:space="preserve"> prerađivački kapaciteti </w:t>
      </w:r>
      <w:r w:rsidR="00796265">
        <w:rPr>
          <w:lang w:val="hr-HR" w:eastAsia="hr-HR" w:bidi="hr-HR"/>
        </w:rPr>
        <w:t>(</w:t>
      </w:r>
      <w:r w:rsidRPr="005F5DCD">
        <w:rPr>
          <w:lang w:val="hr-HR" w:eastAsia="hr-HR" w:bidi="hr-HR"/>
        </w:rPr>
        <w:t xml:space="preserve">Fana - Srebrenik, Vega fruit- Gračanica, Bosna produkt - Gradačac, Fruti </w:t>
      </w:r>
      <w:r w:rsidR="00796265">
        <w:rPr>
          <w:lang w:val="hr-HR" w:eastAsia="hr-HR" w:bidi="hr-HR"/>
        </w:rPr>
        <w:t>–</w:t>
      </w:r>
      <w:r w:rsidRPr="005F5DCD">
        <w:rPr>
          <w:lang w:val="hr-HR" w:eastAsia="hr-HR" w:bidi="hr-HR"/>
        </w:rPr>
        <w:t xml:space="preserve"> Čelić</w:t>
      </w:r>
      <w:r w:rsidR="00796265">
        <w:rPr>
          <w:lang w:val="hr-HR" w:eastAsia="hr-HR" w:bidi="hr-HR"/>
        </w:rPr>
        <w:t>).</w:t>
      </w:r>
      <w:r>
        <w:rPr>
          <w:lang w:val="hr-HR" w:eastAsia="hr-HR" w:bidi="hr-HR"/>
        </w:rPr>
        <w:t xml:space="preserve"> </w:t>
      </w:r>
      <w:r w:rsidR="00CC686E" w:rsidRPr="00CC686E">
        <w:rPr>
          <w:lang w:val="hr-HR" w:eastAsia="hr-HR" w:bidi="hr-HR"/>
        </w:rPr>
        <w:t>U saradnji sa Međunarodnim razvojnim fo</w:t>
      </w:r>
      <w:r w:rsidR="00CC686E">
        <w:rPr>
          <w:lang w:val="hr-HR" w:eastAsia="hr-HR" w:bidi="hr-HR"/>
        </w:rPr>
        <w:t>ndom za  poljoprivredu IFAD</w:t>
      </w:r>
      <w:r w:rsidR="00796265">
        <w:rPr>
          <w:lang w:val="hr-HR" w:eastAsia="hr-HR" w:bidi="hr-HR"/>
        </w:rPr>
        <w:t>,</w:t>
      </w:r>
      <w:r w:rsidR="00CC686E">
        <w:rPr>
          <w:lang w:val="hr-HR" w:eastAsia="hr-HR" w:bidi="hr-HR"/>
        </w:rPr>
        <w:t xml:space="preserve"> na </w:t>
      </w:r>
      <w:r w:rsidR="00CC686E" w:rsidRPr="00CC686E">
        <w:rPr>
          <w:lang w:val="hr-HR" w:eastAsia="hr-HR" w:bidi="hr-HR"/>
        </w:rPr>
        <w:t>području općine Kalesija u 2017</w:t>
      </w:r>
      <w:r w:rsidR="00CC686E">
        <w:rPr>
          <w:lang w:val="hr-HR" w:eastAsia="hr-HR" w:bidi="hr-HR"/>
        </w:rPr>
        <w:t>.</w:t>
      </w:r>
      <w:r w:rsidR="00CC686E" w:rsidRPr="00CC686E">
        <w:rPr>
          <w:lang w:val="hr-HR" w:eastAsia="hr-HR" w:bidi="hr-HR"/>
        </w:rPr>
        <w:t xml:space="preserve"> godini izgradit će se hladnjača minimalnog kapaciteta 150 tona.</w:t>
      </w:r>
      <w:r w:rsidR="00C52DAC" w:rsidRPr="00C52DAC">
        <w:rPr>
          <w:lang w:val="hr-HR" w:eastAsia="hr-HR" w:bidi="hr-HR"/>
        </w:rPr>
        <w:t xml:space="preserve"> </w:t>
      </w:r>
      <w:r w:rsidR="00C52DAC" w:rsidRPr="005F5DCD">
        <w:rPr>
          <w:lang w:val="hr-HR" w:eastAsia="hr-HR" w:bidi="hr-HR"/>
        </w:rPr>
        <w:t>Uz instaliranje mini sušara na područj</w:t>
      </w:r>
      <w:r w:rsidR="00796265">
        <w:rPr>
          <w:lang w:val="hr-HR" w:eastAsia="hr-HR" w:bidi="hr-HR"/>
        </w:rPr>
        <w:t>u općine,</w:t>
      </w:r>
      <w:r w:rsidR="00C52DAC" w:rsidRPr="005F5DCD">
        <w:rPr>
          <w:lang w:val="hr-HR" w:eastAsia="hr-HR" w:bidi="hr-HR"/>
        </w:rPr>
        <w:t xml:space="preserve"> poljoprivredni proizvođači bi mogli </w:t>
      </w:r>
      <w:r w:rsidR="00796265">
        <w:rPr>
          <w:lang w:val="hr-HR" w:eastAsia="hr-HR" w:bidi="hr-HR"/>
        </w:rPr>
        <w:t>povećati stepen finalizacije</w:t>
      </w:r>
      <w:r w:rsidR="00C52DAC" w:rsidRPr="005F5DCD">
        <w:rPr>
          <w:lang w:val="hr-HR" w:eastAsia="hr-HR" w:bidi="hr-HR"/>
        </w:rPr>
        <w:t xml:space="preserve"> proizvod</w:t>
      </w:r>
      <w:r w:rsidR="00796265">
        <w:rPr>
          <w:lang w:val="hr-HR" w:eastAsia="hr-HR" w:bidi="hr-HR"/>
        </w:rPr>
        <w:t>a</w:t>
      </w:r>
      <w:r w:rsidR="00C52DAC" w:rsidRPr="005F5DCD">
        <w:rPr>
          <w:lang w:val="hr-HR" w:eastAsia="hr-HR" w:bidi="hr-HR"/>
        </w:rPr>
        <w:t xml:space="preserve">, </w:t>
      </w:r>
      <w:r w:rsidR="00C52DAC">
        <w:rPr>
          <w:lang w:val="hr-HR" w:eastAsia="hr-HR" w:bidi="hr-HR"/>
        </w:rPr>
        <w:t>čime bi osigurali bolje prihode</w:t>
      </w:r>
      <w:r w:rsidR="00C52DAC" w:rsidRPr="005F5DCD">
        <w:rPr>
          <w:lang w:val="hr-HR" w:eastAsia="hr-HR" w:bidi="hr-HR"/>
        </w:rPr>
        <w:t>.</w:t>
      </w:r>
    </w:p>
    <w:p w:rsidR="00796265" w:rsidRPr="00E0060B" w:rsidRDefault="00107E19" w:rsidP="00A01D01">
      <w:pPr>
        <w:rPr>
          <w:lang w:val="hr-HR" w:eastAsia="hr-HR" w:bidi="hr-HR"/>
        </w:rPr>
      </w:pPr>
      <w:r>
        <w:rPr>
          <w:lang w:val="hr-HR" w:eastAsia="hr-HR" w:bidi="hr-HR"/>
        </w:rPr>
        <w:t>Indikativni pravci razvoja voćarstva u narednom periodu su:</w:t>
      </w:r>
      <w:r w:rsidR="00796265">
        <w:rPr>
          <w:lang w:val="hr-HR" w:eastAsia="hr-HR" w:bidi="hr-HR"/>
        </w:rPr>
        <w:t xml:space="preserve"> t</w:t>
      </w:r>
      <w:r w:rsidRPr="00107E19">
        <w:rPr>
          <w:lang w:val="hr-HR" w:eastAsia="hr-HR" w:bidi="hr-HR"/>
        </w:rPr>
        <w:t>rž</w:t>
      </w:r>
      <w:r>
        <w:rPr>
          <w:lang w:val="hr-HR" w:eastAsia="hr-HR" w:bidi="hr-HR"/>
        </w:rPr>
        <w:t>iš</w:t>
      </w:r>
      <w:r w:rsidRPr="00107E19">
        <w:rPr>
          <w:lang w:val="hr-HR" w:eastAsia="hr-HR" w:bidi="hr-HR"/>
        </w:rPr>
        <w:t>no usmjeravati voćarsku proizvodnju na induvidualn</w:t>
      </w:r>
      <w:r w:rsidR="00796265">
        <w:rPr>
          <w:lang w:val="hr-HR" w:eastAsia="hr-HR" w:bidi="hr-HR"/>
        </w:rPr>
        <w:t>im gazdinstvima; i</w:t>
      </w:r>
      <w:r w:rsidRPr="00107E19">
        <w:rPr>
          <w:lang w:val="hr-HR" w:eastAsia="hr-HR" w:bidi="hr-HR"/>
        </w:rPr>
        <w:t xml:space="preserve">ntezivirati postojeću proizvodnju </w:t>
      </w:r>
      <w:r w:rsidR="00796265">
        <w:rPr>
          <w:lang w:val="hr-HR" w:eastAsia="hr-HR" w:bidi="hr-HR"/>
        </w:rPr>
        <w:t xml:space="preserve">uvođenjem novih </w:t>
      </w:r>
      <w:r w:rsidRPr="00107E19">
        <w:rPr>
          <w:lang w:val="hr-HR" w:eastAsia="hr-HR" w:bidi="hr-HR"/>
        </w:rPr>
        <w:t>agrotehnički</w:t>
      </w:r>
      <w:r w:rsidR="00796265">
        <w:rPr>
          <w:lang w:val="hr-HR" w:eastAsia="hr-HR" w:bidi="hr-HR"/>
        </w:rPr>
        <w:t>h</w:t>
      </w:r>
      <w:r w:rsidRPr="00107E19">
        <w:rPr>
          <w:lang w:val="hr-HR" w:eastAsia="hr-HR" w:bidi="hr-HR"/>
        </w:rPr>
        <w:t xml:space="preserve"> mjera</w:t>
      </w:r>
      <w:r w:rsidR="00796265">
        <w:rPr>
          <w:lang w:val="hr-HR" w:eastAsia="hr-HR" w:bidi="hr-HR"/>
        </w:rPr>
        <w:t xml:space="preserve"> ili</w:t>
      </w:r>
      <w:r w:rsidRPr="00107E19">
        <w:rPr>
          <w:lang w:val="hr-HR" w:eastAsia="hr-HR" w:bidi="hr-HR"/>
        </w:rPr>
        <w:t xml:space="preserve"> mijenjanjem voćarske strukture </w:t>
      </w:r>
      <w:r w:rsidR="00796265">
        <w:rPr>
          <w:lang w:val="hr-HR" w:eastAsia="hr-HR" w:bidi="hr-HR"/>
        </w:rPr>
        <w:t>(uvođenjem otpornijih sorti voća); z</w:t>
      </w:r>
      <w:r w:rsidRPr="00796265">
        <w:rPr>
          <w:lang w:val="hr-HR" w:eastAsia="hr-HR" w:bidi="hr-HR"/>
        </w:rPr>
        <w:t>načajnije uvoditi u proizvodnju sitno jagodičasto voće,</w:t>
      </w:r>
      <w:r w:rsidR="00796265">
        <w:rPr>
          <w:lang w:val="hr-HR" w:eastAsia="hr-HR" w:bidi="hr-HR"/>
        </w:rPr>
        <w:t xml:space="preserve"> z</w:t>
      </w:r>
      <w:r w:rsidRPr="00107E19">
        <w:rPr>
          <w:lang w:val="hr-HR" w:eastAsia="hr-HR" w:bidi="hr-HR"/>
        </w:rPr>
        <w:t>asnivati voćnjake sa gustim sklopom sadnje, te štediti zemljište</w:t>
      </w:r>
      <w:r w:rsidR="00796265">
        <w:rPr>
          <w:lang w:val="hr-HR" w:eastAsia="hr-HR" w:bidi="hr-HR"/>
        </w:rPr>
        <w:t>; u</w:t>
      </w:r>
      <w:r w:rsidRPr="00107E19">
        <w:rPr>
          <w:lang w:val="hr-HR" w:eastAsia="hr-HR" w:bidi="hr-HR"/>
        </w:rPr>
        <w:t>spostav</w:t>
      </w:r>
      <w:r>
        <w:rPr>
          <w:lang w:val="hr-HR" w:eastAsia="hr-HR" w:bidi="hr-HR"/>
        </w:rPr>
        <w:t>iti</w:t>
      </w:r>
      <w:r w:rsidRPr="00107E19">
        <w:rPr>
          <w:lang w:val="hr-HR" w:eastAsia="hr-HR" w:bidi="hr-HR"/>
        </w:rPr>
        <w:t xml:space="preserve"> prognozne službe za zaštitu od bolesti i štetočina</w:t>
      </w:r>
      <w:r>
        <w:rPr>
          <w:lang w:val="hr-HR" w:eastAsia="hr-HR" w:bidi="hr-HR"/>
        </w:rPr>
        <w:t>.</w:t>
      </w:r>
    </w:p>
    <w:p w:rsidR="00690EC1" w:rsidRPr="00690EC1" w:rsidRDefault="00690EC1" w:rsidP="00AD59CB">
      <w:pPr>
        <w:pStyle w:val="Heading4"/>
        <w:rPr>
          <w:lang w:val="hr-HR" w:eastAsia="hr-HR" w:bidi="hr-HR"/>
        </w:rPr>
      </w:pPr>
      <w:bookmarkStart w:id="32" w:name="_Toc500140011"/>
      <w:r w:rsidRPr="00D63C03">
        <w:rPr>
          <w:lang w:val="hr-HR" w:eastAsia="hr-HR" w:bidi="hr-HR"/>
        </w:rPr>
        <w:t>Ratarstvo</w:t>
      </w:r>
      <w:bookmarkEnd w:id="32"/>
    </w:p>
    <w:p w:rsidR="00690EC1" w:rsidRDefault="00690EC1" w:rsidP="00750FA5">
      <w:pPr>
        <w:rPr>
          <w:lang w:val="hr-HR" w:eastAsia="hr-HR" w:bidi="hr-HR"/>
        </w:rPr>
      </w:pPr>
      <w:r w:rsidRPr="005F5DCD">
        <w:rPr>
          <w:lang w:val="hr-HR" w:eastAsia="hr-HR" w:bidi="hr-HR"/>
        </w:rPr>
        <w:t>Ratarska proizvodnja na području općine Kalesija uglavnom je vezana za sjetvu žitarica</w:t>
      </w:r>
      <w:r>
        <w:rPr>
          <w:lang w:val="hr-HR" w:eastAsia="hr-HR" w:bidi="hr-HR"/>
        </w:rPr>
        <w:t xml:space="preserve"> </w:t>
      </w:r>
      <w:r w:rsidRPr="005F5DCD">
        <w:rPr>
          <w:lang w:val="hr-HR" w:eastAsia="hr-HR" w:bidi="hr-HR"/>
        </w:rPr>
        <w:t>(pšenica,</w:t>
      </w:r>
      <w:r>
        <w:rPr>
          <w:lang w:val="hr-HR" w:eastAsia="hr-HR" w:bidi="hr-HR"/>
        </w:rPr>
        <w:t xml:space="preserve"> </w:t>
      </w:r>
      <w:r w:rsidRPr="005F5DCD">
        <w:rPr>
          <w:lang w:val="hr-HR" w:eastAsia="hr-HR" w:bidi="hr-HR"/>
        </w:rPr>
        <w:t>ječam,</w:t>
      </w:r>
      <w:r>
        <w:rPr>
          <w:lang w:val="hr-HR" w:eastAsia="hr-HR" w:bidi="hr-HR"/>
        </w:rPr>
        <w:t xml:space="preserve"> </w:t>
      </w:r>
      <w:r w:rsidRPr="005F5DCD">
        <w:rPr>
          <w:lang w:val="hr-HR" w:eastAsia="hr-HR" w:bidi="hr-HR"/>
        </w:rPr>
        <w:t>tritikale i zob), povrća</w:t>
      </w:r>
      <w:r>
        <w:rPr>
          <w:lang w:val="hr-HR" w:eastAsia="hr-HR" w:bidi="hr-HR"/>
        </w:rPr>
        <w:t xml:space="preserve"> (krompir, krastvci kornišoni, itd.)</w:t>
      </w:r>
      <w:r w:rsidRPr="005F5DCD">
        <w:rPr>
          <w:lang w:val="hr-HR" w:eastAsia="hr-HR" w:bidi="hr-HR"/>
        </w:rPr>
        <w:t xml:space="preserve"> i krmnih kultura</w:t>
      </w:r>
      <w:r w:rsidRPr="00690EC1">
        <w:rPr>
          <w:lang w:val="hr-HR" w:eastAsia="hr-HR" w:bidi="hr-HR"/>
        </w:rPr>
        <w:t xml:space="preserve"> </w:t>
      </w:r>
      <w:r w:rsidRPr="005F5DCD">
        <w:rPr>
          <w:lang w:val="hr-HR" w:eastAsia="hr-HR" w:bidi="hr-HR"/>
        </w:rPr>
        <w:t>(kukuruz,</w:t>
      </w:r>
      <w:r>
        <w:rPr>
          <w:lang w:val="hr-HR" w:eastAsia="hr-HR" w:bidi="hr-HR"/>
        </w:rPr>
        <w:t xml:space="preserve"> </w:t>
      </w:r>
      <w:r w:rsidRPr="005F5DCD">
        <w:rPr>
          <w:lang w:val="hr-HR" w:eastAsia="hr-HR" w:bidi="hr-HR"/>
        </w:rPr>
        <w:t>trav</w:t>
      </w:r>
      <w:r>
        <w:rPr>
          <w:lang w:val="hr-HR" w:eastAsia="hr-HR" w:bidi="hr-HR"/>
        </w:rPr>
        <w:t>a</w:t>
      </w:r>
      <w:r w:rsidRPr="005F5DCD">
        <w:rPr>
          <w:lang w:val="hr-HR" w:eastAsia="hr-HR" w:bidi="hr-HR"/>
        </w:rPr>
        <w:t xml:space="preserve"> i djetelin</w:t>
      </w:r>
      <w:r>
        <w:rPr>
          <w:lang w:val="hr-HR" w:eastAsia="hr-HR" w:bidi="hr-HR"/>
        </w:rPr>
        <w:t>a</w:t>
      </w:r>
      <w:r w:rsidRPr="005F5DCD">
        <w:rPr>
          <w:lang w:val="hr-HR" w:eastAsia="hr-HR" w:bidi="hr-HR"/>
        </w:rPr>
        <w:t>).</w:t>
      </w:r>
      <w:r w:rsidR="00B44416">
        <w:rPr>
          <w:lang w:val="hr-HR" w:eastAsia="hr-HR" w:bidi="hr-HR"/>
        </w:rPr>
        <w:t xml:space="preserve"> </w:t>
      </w:r>
      <w:r w:rsidR="00B44416">
        <w:rPr>
          <w:lang w:val="hr-HR" w:eastAsia="hr-HR" w:bidi="hr-HR"/>
        </w:rPr>
        <w:lastRenderedPageBreak/>
        <w:t xml:space="preserve">Sjetvena struktura u općini Kalesija u 2016. godini </w:t>
      </w:r>
      <w:r w:rsidR="00B44416" w:rsidRPr="00EE353E">
        <w:rPr>
          <w:lang w:val="hr-HR" w:eastAsia="hr-HR" w:bidi="hr-HR"/>
        </w:rPr>
        <w:t xml:space="preserve">prikazana je u tabeli </w:t>
      </w:r>
      <w:r w:rsidR="00EE353E" w:rsidRPr="00EE353E">
        <w:rPr>
          <w:lang w:val="hr-HR" w:eastAsia="hr-HR" w:bidi="hr-HR"/>
        </w:rPr>
        <w:t>7</w:t>
      </w:r>
      <w:r w:rsidR="00B44416" w:rsidRPr="00EE353E">
        <w:rPr>
          <w:lang w:val="hr-HR" w:eastAsia="hr-HR" w:bidi="hr-HR"/>
        </w:rPr>
        <w:t>.</w:t>
      </w:r>
      <w:r w:rsidRPr="00EE353E">
        <w:rPr>
          <w:lang w:val="hr-HR" w:eastAsia="hr-HR" w:bidi="hr-HR"/>
        </w:rPr>
        <w:t xml:space="preserve"> U ratarskoj proizvodnji je zadržan tradicionalni način proizvod</w:t>
      </w:r>
      <w:r w:rsidRPr="00EE353E">
        <w:rPr>
          <w:lang w:val="hr-HR" w:eastAsia="hr-HR" w:bidi="hr-HR"/>
        </w:rPr>
        <w:softHyphen/>
        <w:t>nje.</w:t>
      </w:r>
      <w:r>
        <w:rPr>
          <w:lang w:val="hr-HR" w:eastAsia="hr-HR" w:bidi="hr-HR"/>
        </w:rPr>
        <w:t xml:space="preserve"> </w:t>
      </w:r>
      <w:r w:rsidRPr="005F5DCD">
        <w:rPr>
          <w:lang w:val="hr-HR" w:eastAsia="hr-HR" w:bidi="hr-HR"/>
        </w:rPr>
        <w:t>Povrtlarstvo kao značajna grana rat</w:t>
      </w:r>
      <w:r>
        <w:rPr>
          <w:lang w:val="hr-HR" w:eastAsia="hr-HR" w:bidi="hr-HR"/>
        </w:rPr>
        <w:t xml:space="preserve">arske proizvodnje je u usponu </w:t>
      </w:r>
      <w:r w:rsidRPr="005F5DCD">
        <w:rPr>
          <w:lang w:val="hr-HR" w:eastAsia="hr-HR" w:bidi="hr-HR"/>
        </w:rPr>
        <w:t>kako na otvorenom</w:t>
      </w:r>
      <w:r>
        <w:rPr>
          <w:lang w:val="hr-HR" w:eastAsia="hr-HR" w:bidi="hr-HR"/>
        </w:rPr>
        <w:t>,</w:t>
      </w:r>
      <w:r w:rsidRPr="005F5DCD">
        <w:rPr>
          <w:lang w:val="hr-HR" w:eastAsia="hr-HR" w:bidi="hr-HR"/>
        </w:rPr>
        <w:t xml:space="preserve"> tako i u zatvorenom prostoru (staklenici i plastenici).</w:t>
      </w:r>
      <w:r>
        <w:rPr>
          <w:lang w:val="hr-HR" w:eastAsia="hr-HR" w:bidi="hr-HR"/>
        </w:rPr>
        <w:t xml:space="preserve"> </w:t>
      </w:r>
      <w:r w:rsidRPr="005F5DCD">
        <w:rPr>
          <w:lang w:val="hr-HR" w:eastAsia="hr-HR" w:bidi="hr-HR"/>
        </w:rPr>
        <w:t>Od značajnih subjekata koji se bave primarnom poljoprivrednom proizvodnjom na području Općine su:</w:t>
      </w:r>
      <w:r>
        <w:rPr>
          <w:lang w:val="hr-HR" w:eastAsia="hr-HR" w:bidi="hr-HR"/>
        </w:rPr>
        <w:t xml:space="preserve"> </w:t>
      </w:r>
      <w:r w:rsidRPr="005F5DCD">
        <w:rPr>
          <w:lang w:val="hr-HR" w:eastAsia="hr-HR" w:bidi="hr-HR"/>
        </w:rPr>
        <w:t>Doo Farma Spreča Vukovije Donje, ZZ "Sprečanski farmer" D.Rainci, Farma Jajić  Donje Vukovije,  Farma Čajto Jajići i dr.</w:t>
      </w:r>
    </w:p>
    <w:p w:rsidR="00962023" w:rsidRPr="00962023" w:rsidRDefault="00B44416" w:rsidP="00AD59CB">
      <w:pPr>
        <w:pStyle w:val="GrafiTabele"/>
      </w:pPr>
      <w:r w:rsidRPr="00962023">
        <w:t xml:space="preserve">Tabela </w:t>
      </w:r>
      <w:r w:rsidR="00EE353E">
        <w:t>7</w:t>
      </w:r>
      <w:r w:rsidR="00962023" w:rsidRPr="00962023">
        <w:t>:</w:t>
      </w:r>
      <w:r w:rsidRPr="00962023">
        <w:t xml:space="preserve"> Sjetvena struktura u općini Kalesija u 2016. </w:t>
      </w:r>
      <w:r w:rsidR="00962023">
        <w:t>g</w:t>
      </w:r>
      <w:r w:rsidRPr="00962023">
        <w:t>odini</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1971"/>
        <w:gridCol w:w="1595"/>
        <w:gridCol w:w="236"/>
        <w:gridCol w:w="711"/>
        <w:gridCol w:w="1890"/>
        <w:gridCol w:w="1980"/>
      </w:tblGrid>
      <w:tr w:rsidR="00D63C03" w:rsidRPr="008739FA" w:rsidTr="005F6F10">
        <w:trPr>
          <w:jc w:val="center"/>
        </w:trPr>
        <w:tc>
          <w:tcPr>
            <w:tcW w:w="725" w:type="dxa"/>
            <w:shd w:val="clear" w:color="auto" w:fill="D9D9D9" w:themeFill="background1" w:themeFillShade="D9"/>
            <w:vAlign w:val="center"/>
            <w:hideMark/>
          </w:tcPr>
          <w:p w:rsidR="00D63C03" w:rsidRPr="008739FA" w:rsidRDefault="00D63C03" w:rsidP="00EE353E">
            <w:pPr>
              <w:spacing w:before="20" w:after="20"/>
              <w:jc w:val="center"/>
              <w:rPr>
                <w:rFonts w:eastAsia="Times New Roman"/>
                <w:b/>
                <w:bCs/>
                <w:color w:val="000000"/>
                <w:sz w:val="20"/>
                <w:szCs w:val="20"/>
                <w:lang w:eastAsia="hr-HR"/>
              </w:rPr>
            </w:pPr>
            <w:r w:rsidRPr="008739FA">
              <w:rPr>
                <w:rFonts w:eastAsia="Times New Roman"/>
                <w:b/>
                <w:bCs/>
                <w:color w:val="000000"/>
                <w:sz w:val="20"/>
                <w:szCs w:val="20"/>
                <w:lang w:eastAsia="hr-HR"/>
              </w:rPr>
              <w:t>R</w:t>
            </w:r>
            <w:r>
              <w:rPr>
                <w:rFonts w:eastAsia="Times New Roman"/>
                <w:b/>
                <w:bCs/>
                <w:color w:val="000000"/>
                <w:sz w:val="20"/>
                <w:szCs w:val="20"/>
                <w:lang w:eastAsia="hr-HR"/>
              </w:rPr>
              <w:t>.</w:t>
            </w:r>
            <w:r w:rsidRPr="008739FA">
              <w:rPr>
                <w:rFonts w:eastAsia="Times New Roman"/>
                <w:b/>
                <w:bCs/>
                <w:color w:val="000000"/>
                <w:sz w:val="20"/>
                <w:szCs w:val="20"/>
                <w:lang w:eastAsia="hr-HR"/>
              </w:rPr>
              <w:t>br</w:t>
            </w:r>
            <w:r>
              <w:rPr>
                <w:rFonts w:eastAsia="Times New Roman"/>
                <w:b/>
                <w:bCs/>
                <w:color w:val="000000"/>
                <w:sz w:val="20"/>
                <w:szCs w:val="20"/>
                <w:lang w:eastAsia="hr-HR"/>
              </w:rPr>
              <w:t>.</w:t>
            </w:r>
          </w:p>
        </w:tc>
        <w:tc>
          <w:tcPr>
            <w:tcW w:w="1971" w:type="dxa"/>
            <w:shd w:val="clear" w:color="auto" w:fill="D9D9D9" w:themeFill="background1" w:themeFillShade="D9"/>
            <w:vAlign w:val="center"/>
            <w:hideMark/>
          </w:tcPr>
          <w:p w:rsidR="00D63C03" w:rsidRPr="008739FA" w:rsidRDefault="00D63C03" w:rsidP="00EE353E">
            <w:pPr>
              <w:spacing w:before="20" w:after="20"/>
              <w:jc w:val="center"/>
              <w:rPr>
                <w:rFonts w:eastAsia="Times New Roman"/>
                <w:b/>
                <w:bCs/>
                <w:color w:val="000000"/>
                <w:sz w:val="20"/>
                <w:szCs w:val="20"/>
                <w:lang w:eastAsia="hr-HR"/>
              </w:rPr>
            </w:pPr>
            <w:r w:rsidRPr="008739FA">
              <w:rPr>
                <w:rFonts w:eastAsia="Times New Roman"/>
                <w:b/>
                <w:bCs/>
                <w:color w:val="000000"/>
                <w:sz w:val="20"/>
                <w:szCs w:val="20"/>
                <w:lang w:eastAsia="hr-HR"/>
              </w:rPr>
              <w:t>Sjetvena struktura-proljeće</w:t>
            </w:r>
          </w:p>
        </w:tc>
        <w:tc>
          <w:tcPr>
            <w:tcW w:w="1595" w:type="dxa"/>
            <w:tcBorders>
              <w:right w:val="single" w:sz="4" w:space="0" w:color="auto"/>
            </w:tcBorders>
            <w:shd w:val="clear" w:color="auto" w:fill="D9D9D9" w:themeFill="background1" w:themeFillShade="D9"/>
            <w:vAlign w:val="center"/>
            <w:hideMark/>
          </w:tcPr>
          <w:p w:rsidR="00D63C03" w:rsidRPr="008739FA" w:rsidRDefault="00D63C03" w:rsidP="00EE353E">
            <w:pPr>
              <w:spacing w:before="20" w:after="20"/>
              <w:jc w:val="center"/>
              <w:rPr>
                <w:rFonts w:eastAsia="Times New Roman"/>
                <w:b/>
                <w:bCs/>
                <w:color w:val="000000"/>
                <w:sz w:val="20"/>
                <w:szCs w:val="20"/>
                <w:lang w:eastAsia="hr-HR"/>
              </w:rPr>
            </w:pPr>
            <w:r>
              <w:rPr>
                <w:rFonts w:eastAsia="Times New Roman"/>
                <w:b/>
                <w:bCs/>
                <w:color w:val="000000"/>
                <w:sz w:val="20"/>
                <w:szCs w:val="20"/>
                <w:lang w:eastAsia="hr-HR"/>
              </w:rPr>
              <w:t>Ostvareno u 2016.g. (h</w:t>
            </w:r>
            <w:r w:rsidRPr="008739FA">
              <w:rPr>
                <w:rFonts w:eastAsia="Times New Roman"/>
                <w:b/>
                <w:bCs/>
                <w:color w:val="000000"/>
                <w:sz w:val="20"/>
                <w:szCs w:val="20"/>
                <w:lang w:eastAsia="hr-HR"/>
              </w:rPr>
              <w:t>a</w:t>
            </w:r>
            <w:r>
              <w:rPr>
                <w:rFonts w:eastAsia="Times New Roman"/>
                <w:b/>
                <w:bCs/>
                <w:color w:val="000000"/>
                <w:sz w:val="20"/>
                <w:szCs w:val="20"/>
                <w:lang w:eastAsia="hr-HR"/>
              </w:rPr>
              <w:t>)</w:t>
            </w:r>
          </w:p>
        </w:tc>
        <w:tc>
          <w:tcPr>
            <w:tcW w:w="236" w:type="dxa"/>
            <w:tcBorders>
              <w:top w:val="nil"/>
              <w:left w:val="single" w:sz="4" w:space="0" w:color="auto"/>
              <w:bottom w:val="nil"/>
              <w:right w:val="single" w:sz="4" w:space="0" w:color="auto"/>
            </w:tcBorders>
            <w:shd w:val="clear" w:color="auto" w:fill="auto"/>
          </w:tcPr>
          <w:p w:rsidR="00D63C03" w:rsidRPr="008739FA" w:rsidRDefault="00D63C03" w:rsidP="00EE353E">
            <w:pPr>
              <w:spacing w:before="20" w:after="20"/>
              <w:jc w:val="center"/>
              <w:rPr>
                <w:rFonts w:eastAsia="Times New Roman"/>
                <w:b/>
                <w:bCs/>
                <w:color w:val="000000"/>
                <w:sz w:val="20"/>
                <w:szCs w:val="20"/>
                <w:lang w:eastAsia="hr-HR"/>
              </w:rPr>
            </w:pPr>
          </w:p>
        </w:tc>
        <w:tc>
          <w:tcPr>
            <w:tcW w:w="711" w:type="dxa"/>
            <w:tcBorders>
              <w:left w:val="single" w:sz="4" w:space="0" w:color="auto"/>
            </w:tcBorders>
            <w:shd w:val="clear" w:color="auto" w:fill="D9D9D9" w:themeFill="background1" w:themeFillShade="D9"/>
            <w:vAlign w:val="center"/>
          </w:tcPr>
          <w:p w:rsidR="00D63C03" w:rsidRPr="008739FA" w:rsidRDefault="00D63C03" w:rsidP="00EE353E">
            <w:pPr>
              <w:spacing w:before="20" w:after="20"/>
              <w:jc w:val="center"/>
              <w:rPr>
                <w:rFonts w:eastAsia="Times New Roman"/>
                <w:b/>
                <w:bCs/>
                <w:color w:val="000000"/>
                <w:sz w:val="20"/>
                <w:szCs w:val="20"/>
                <w:lang w:eastAsia="hr-HR"/>
              </w:rPr>
            </w:pPr>
            <w:r w:rsidRPr="008739FA">
              <w:rPr>
                <w:rFonts w:eastAsia="Times New Roman"/>
                <w:b/>
                <w:bCs/>
                <w:color w:val="000000"/>
                <w:sz w:val="20"/>
                <w:szCs w:val="20"/>
                <w:lang w:eastAsia="hr-HR"/>
              </w:rPr>
              <w:t>R</w:t>
            </w:r>
            <w:r>
              <w:rPr>
                <w:rFonts w:eastAsia="Times New Roman"/>
                <w:b/>
                <w:bCs/>
                <w:color w:val="000000"/>
                <w:sz w:val="20"/>
                <w:szCs w:val="20"/>
                <w:lang w:eastAsia="hr-HR"/>
              </w:rPr>
              <w:t>.</w:t>
            </w:r>
            <w:r w:rsidRPr="008739FA">
              <w:rPr>
                <w:rFonts w:eastAsia="Times New Roman"/>
                <w:b/>
                <w:bCs/>
                <w:color w:val="000000"/>
                <w:sz w:val="20"/>
                <w:szCs w:val="20"/>
                <w:lang w:eastAsia="hr-HR"/>
              </w:rPr>
              <w:t>br</w:t>
            </w:r>
            <w:r>
              <w:rPr>
                <w:rFonts w:eastAsia="Times New Roman"/>
                <w:b/>
                <w:bCs/>
                <w:color w:val="000000"/>
                <w:sz w:val="20"/>
                <w:szCs w:val="20"/>
                <w:lang w:eastAsia="hr-HR"/>
              </w:rPr>
              <w:t>.</w:t>
            </w:r>
          </w:p>
        </w:tc>
        <w:tc>
          <w:tcPr>
            <w:tcW w:w="1890" w:type="dxa"/>
            <w:shd w:val="clear" w:color="auto" w:fill="D9D9D9" w:themeFill="background1" w:themeFillShade="D9"/>
            <w:vAlign w:val="center"/>
          </w:tcPr>
          <w:p w:rsidR="00D63C03" w:rsidRPr="008739FA" w:rsidRDefault="00D63C03" w:rsidP="00EE353E">
            <w:pPr>
              <w:spacing w:before="20" w:after="20"/>
              <w:jc w:val="center"/>
              <w:rPr>
                <w:rFonts w:eastAsia="Times New Roman"/>
                <w:b/>
                <w:bCs/>
                <w:color w:val="000000"/>
                <w:sz w:val="20"/>
                <w:szCs w:val="20"/>
                <w:lang w:eastAsia="hr-HR"/>
              </w:rPr>
            </w:pPr>
            <w:r w:rsidRPr="008739FA">
              <w:rPr>
                <w:rFonts w:eastAsia="Times New Roman"/>
                <w:b/>
                <w:bCs/>
                <w:color w:val="000000"/>
                <w:sz w:val="20"/>
                <w:szCs w:val="20"/>
                <w:lang w:eastAsia="hr-HR"/>
              </w:rPr>
              <w:t>Sjetvena struktura-jesen</w:t>
            </w:r>
          </w:p>
        </w:tc>
        <w:tc>
          <w:tcPr>
            <w:tcW w:w="1980" w:type="dxa"/>
            <w:shd w:val="clear" w:color="auto" w:fill="D9D9D9" w:themeFill="background1" w:themeFillShade="D9"/>
            <w:vAlign w:val="center"/>
          </w:tcPr>
          <w:p w:rsidR="00D63C03" w:rsidRPr="008739FA" w:rsidRDefault="00D63C03" w:rsidP="00EE353E">
            <w:pPr>
              <w:spacing w:before="20" w:after="20"/>
              <w:jc w:val="center"/>
              <w:rPr>
                <w:rFonts w:eastAsia="Times New Roman"/>
                <w:b/>
                <w:bCs/>
                <w:color w:val="000000"/>
                <w:sz w:val="20"/>
                <w:szCs w:val="20"/>
                <w:lang w:eastAsia="hr-HR"/>
              </w:rPr>
            </w:pPr>
            <w:r>
              <w:rPr>
                <w:rFonts w:eastAsia="Times New Roman"/>
                <w:b/>
                <w:bCs/>
                <w:color w:val="000000"/>
                <w:sz w:val="20"/>
                <w:szCs w:val="20"/>
                <w:lang w:eastAsia="hr-HR"/>
              </w:rPr>
              <w:t>Ostvareno u 2016. g. (h</w:t>
            </w:r>
            <w:r w:rsidRPr="008739FA">
              <w:rPr>
                <w:rFonts w:eastAsia="Times New Roman"/>
                <w:b/>
                <w:bCs/>
                <w:color w:val="000000"/>
                <w:sz w:val="20"/>
                <w:szCs w:val="20"/>
                <w:lang w:eastAsia="hr-HR"/>
              </w:rPr>
              <w:t>a</w:t>
            </w:r>
            <w:r>
              <w:rPr>
                <w:rFonts w:eastAsia="Times New Roman"/>
                <w:b/>
                <w:bCs/>
                <w:color w:val="000000"/>
                <w:sz w:val="20"/>
                <w:szCs w:val="20"/>
                <w:lang w:eastAsia="hr-HR"/>
              </w:rPr>
              <w:t>)</w:t>
            </w: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1.</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Pšenica jara</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w:t>
            </w:r>
          </w:p>
        </w:tc>
        <w:tc>
          <w:tcPr>
            <w:tcW w:w="236" w:type="dxa"/>
            <w:tcBorders>
              <w:top w:val="nil"/>
              <w:left w:val="single" w:sz="4" w:space="0" w:color="auto"/>
              <w:bottom w:val="nil"/>
              <w:right w:val="single" w:sz="4" w:space="0" w:color="auto"/>
            </w:tcBorders>
            <w:shd w:val="clear" w:color="auto" w:fill="auto"/>
          </w:tcPr>
          <w:p w:rsidR="00D63C03" w:rsidRPr="008739FA" w:rsidRDefault="00D63C03" w:rsidP="00EE353E">
            <w:pPr>
              <w:spacing w:before="20" w:after="20"/>
              <w:jc w:val="center"/>
              <w:rPr>
                <w:sz w:val="20"/>
                <w:szCs w:val="20"/>
              </w:rPr>
            </w:pPr>
          </w:p>
        </w:tc>
        <w:tc>
          <w:tcPr>
            <w:tcW w:w="711" w:type="dxa"/>
            <w:tcBorders>
              <w:left w:val="single" w:sz="4" w:space="0" w:color="auto"/>
            </w:tcBorders>
          </w:tcPr>
          <w:p w:rsidR="00D63C03" w:rsidRPr="008739FA" w:rsidRDefault="00D63C03" w:rsidP="00EE353E">
            <w:pPr>
              <w:spacing w:before="20" w:after="20"/>
              <w:jc w:val="center"/>
              <w:rPr>
                <w:rFonts w:eastAsia="Times New Roman"/>
                <w:color w:val="000000"/>
                <w:sz w:val="20"/>
                <w:szCs w:val="20"/>
                <w:lang w:eastAsia="hr-HR"/>
              </w:rPr>
            </w:pPr>
            <w:r w:rsidRPr="008739FA">
              <w:rPr>
                <w:sz w:val="20"/>
                <w:szCs w:val="20"/>
              </w:rPr>
              <w:t>1.</w:t>
            </w:r>
          </w:p>
        </w:tc>
        <w:tc>
          <w:tcPr>
            <w:tcW w:w="1890" w:type="dxa"/>
            <w:vAlign w:val="center"/>
          </w:tcPr>
          <w:p w:rsidR="00D63C03" w:rsidRPr="008739FA" w:rsidRDefault="00D63C03" w:rsidP="00EE353E">
            <w:pPr>
              <w:spacing w:before="20" w:after="20"/>
              <w:jc w:val="left"/>
              <w:rPr>
                <w:rFonts w:eastAsia="Times New Roman"/>
                <w:color w:val="000000"/>
                <w:sz w:val="20"/>
                <w:szCs w:val="20"/>
                <w:lang w:eastAsia="hr-HR"/>
              </w:rPr>
            </w:pPr>
            <w:r w:rsidRPr="008739FA">
              <w:rPr>
                <w:sz w:val="20"/>
                <w:szCs w:val="20"/>
              </w:rPr>
              <w:t>Pšenica</w:t>
            </w:r>
          </w:p>
        </w:tc>
        <w:tc>
          <w:tcPr>
            <w:tcW w:w="1980" w:type="dxa"/>
          </w:tcPr>
          <w:p w:rsidR="00D63C03" w:rsidRPr="008739FA" w:rsidRDefault="00D63C03" w:rsidP="00EE353E">
            <w:pPr>
              <w:spacing w:before="20" w:after="20"/>
              <w:jc w:val="center"/>
              <w:rPr>
                <w:rFonts w:eastAsia="Times New Roman"/>
                <w:color w:val="000000"/>
                <w:sz w:val="20"/>
                <w:szCs w:val="20"/>
                <w:lang w:eastAsia="hr-HR"/>
              </w:rPr>
            </w:pPr>
            <w:r w:rsidRPr="008739FA">
              <w:rPr>
                <w:sz w:val="20"/>
                <w:szCs w:val="20"/>
              </w:rPr>
              <w:t>380</w:t>
            </w: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2.</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Raž jara</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w:t>
            </w:r>
          </w:p>
        </w:tc>
        <w:tc>
          <w:tcPr>
            <w:tcW w:w="236" w:type="dxa"/>
            <w:tcBorders>
              <w:top w:val="nil"/>
              <w:left w:val="single" w:sz="4" w:space="0" w:color="auto"/>
              <w:bottom w:val="nil"/>
              <w:right w:val="single" w:sz="4" w:space="0" w:color="auto"/>
            </w:tcBorders>
            <w:shd w:val="clear" w:color="auto" w:fill="auto"/>
          </w:tcPr>
          <w:p w:rsidR="00D63C03" w:rsidRPr="008739FA" w:rsidRDefault="00D63C03" w:rsidP="00EE353E">
            <w:pPr>
              <w:spacing w:before="20" w:after="20"/>
              <w:jc w:val="center"/>
              <w:rPr>
                <w:sz w:val="20"/>
                <w:szCs w:val="20"/>
              </w:rPr>
            </w:pPr>
          </w:p>
        </w:tc>
        <w:tc>
          <w:tcPr>
            <w:tcW w:w="711" w:type="dxa"/>
            <w:tcBorders>
              <w:left w:val="single" w:sz="4" w:space="0" w:color="auto"/>
            </w:tcBorders>
          </w:tcPr>
          <w:p w:rsidR="00D63C03" w:rsidRPr="008739FA" w:rsidRDefault="00D63C03" w:rsidP="00EE353E">
            <w:pPr>
              <w:spacing w:before="20" w:after="20"/>
              <w:jc w:val="center"/>
              <w:rPr>
                <w:rFonts w:eastAsia="Times New Roman"/>
                <w:color w:val="000000"/>
                <w:sz w:val="20"/>
                <w:szCs w:val="20"/>
                <w:lang w:eastAsia="hr-HR"/>
              </w:rPr>
            </w:pPr>
            <w:r w:rsidRPr="008739FA">
              <w:rPr>
                <w:sz w:val="20"/>
                <w:szCs w:val="20"/>
              </w:rPr>
              <w:t>2.</w:t>
            </w:r>
          </w:p>
        </w:tc>
        <w:tc>
          <w:tcPr>
            <w:tcW w:w="1890" w:type="dxa"/>
            <w:vAlign w:val="center"/>
          </w:tcPr>
          <w:p w:rsidR="00D63C03" w:rsidRPr="008739FA" w:rsidRDefault="00D63C03" w:rsidP="00EE353E">
            <w:pPr>
              <w:spacing w:before="20" w:after="20"/>
              <w:jc w:val="left"/>
              <w:rPr>
                <w:rFonts w:eastAsia="Times New Roman"/>
                <w:color w:val="000000"/>
                <w:sz w:val="20"/>
                <w:szCs w:val="20"/>
                <w:lang w:eastAsia="hr-HR"/>
              </w:rPr>
            </w:pPr>
            <w:r w:rsidRPr="008739FA">
              <w:rPr>
                <w:sz w:val="20"/>
                <w:szCs w:val="20"/>
              </w:rPr>
              <w:t xml:space="preserve">Tritikale  </w:t>
            </w:r>
          </w:p>
        </w:tc>
        <w:tc>
          <w:tcPr>
            <w:tcW w:w="1980" w:type="dxa"/>
          </w:tcPr>
          <w:p w:rsidR="00D63C03" w:rsidRPr="008739FA" w:rsidRDefault="00D63C03" w:rsidP="00EE353E">
            <w:pPr>
              <w:spacing w:before="20" w:after="20"/>
              <w:jc w:val="center"/>
              <w:rPr>
                <w:rFonts w:eastAsia="Times New Roman"/>
                <w:color w:val="000000"/>
                <w:sz w:val="20"/>
                <w:szCs w:val="20"/>
                <w:lang w:eastAsia="hr-HR"/>
              </w:rPr>
            </w:pPr>
            <w:r w:rsidRPr="008739FA">
              <w:rPr>
                <w:sz w:val="20"/>
                <w:szCs w:val="20"/>
              </w:rPr>
              <w:t>320</w:t>
            </w: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3.</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Ječam jari</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10</w:t>
            </w:r>
          </w:p>
        </w:tc>
        <w:tc>
          <w:tcPr>
            <w:tcW w:w="236" w:type="dxa"/>
            <w:tcBorders>
              <w:top w:val="nil"/>
              <w:left w:val="single" w:sz="4" w:space="0" w:color="auto"/>
              <w:bottom w:val="nil"/>
              <w:right w:val="single" w:sz="4" w:space="0" w:color="auto"/>
            </w:tcBorders>
            <w:shd w:val="clear" w:color="auto" w:fill="auto"/>
          </w:tcPr>
          <w:p w:rsidR="00D63C03" w:rsidRPr="008739FA" w:rsidRDefault="00D63C03" w:rsidP="00EE353E">
            <w:pPr>
              <w:spacing w:before="20" w:after="20"/>
              <w:jc w:val="center"/>
              <w:rPr>
                <w:sz w:val="20"/>
                <w:szCs w:val="20"/>
              </w:rPr>
            </w:pPr>
          </w:p>
        </w:tc>
        <w:tc>
          <w:tcPr>
            <w:tcW w:w="711" w:type="dxa"/>
            <w:tcBorders>
              <w:left w:val="single" w:sz="4" w:space="0" w:color="auto"/>
            </w:tcBorders>
          </w:tcPr>
          <w:p w:rsidR="00D63C03" w:rsidRPr="008739FA" w:rsidRDefault="00D63C03" w:rsidP="00EE353E">
            <w:pPr>
              <w:spacing w:before="20" w:after="20"/>
              <w:jc w:val="center"/>
              <w:rPr>
                <w:rFonts w:eastAsia="Times New Roman"/>
                <w:color w:val="000000"/>
                <w:sz w:val="20"/>
                <w:szCs w:val="20"/>
                <w:lang w:eastAsia="hr-HR"/>
              </w:rPr>
            </w:pPr>
            <w:r w:rsidRPr="008739FA">
              <w:rPr>
                <w:sz w:val="20"/>
                <w:szCs w:val="20"/>
              </w:rPr>
              <w:t>3.</w:t>
            </w:r>
          </w:p>
        </w:tc>
        <w:tc>
          <w:tcPr>
            <w:tcW w:w="1890" w:type="dxa"/>
            <w:vAlign w:val="center"/>
          </w:tcPr>
          <w:p w:rsidR="00D63C03" w:rsidRPr="008739FA" w:rsidRDefault="00D63C03" w:rsidP="00EE353E">
            <w:pPr>
              <w:spacing w:before="20" w:after="20"/>
              <w:jc w:val="left"/>
              <w:rPr>
                <w:rFonts w:eastAsia="Times New Roman"/>
                <w:color w:val="000000"/>
                <w:sz w:val="20"/>
                <w:szCs w:val="20"/>
                <w:lang w:eastAsia="hr-HR"/>
              </w:rPr>
            </w:pPr>
            <w:r w:rsidRPr="008739FA">
              <w:rPr>
                <w:sz w:val="20"/>
                <w:szCs w:val="20"/>
              </w:rPr>
              <w:t>Zob</w:t>
            </w:r>
          </w:p>
        </w:tc>
        <w:tc>
          <w:tcPr>
            <w:tcW w:w="1980" w:type="dxa"/>
          </w:tcPr>
          <w:p w:rsidR="00D63C03" w:rsidRPr="008739FA" w:rsidRDefault="00D63C03" w:rsidP="00EE353E">
            <w:pPr>
              <w:spacing w:before="20" w:after="20"/>
              <w:jc w:val="center"/>
              <w:rPr>
                <w:rFonts w:eastAsia="Times New Roman"/>
                <w:color w:val="000000"/>
                <w:sz w:val="20"/>
                <w:szCs w:val="20"/>
                <w:lang w:eastAsia="hr-HR"/>
              </w:rPr>
            </w:pPr>
            <w:r w:rsidRPr="008739FA">
              <w:rPr>
                <w:sz w:val="20"/>
                <w:szCs w:val="20"/>
              </w:rPr>
              <w:t>10</w:t>
            </w: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4.</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Zob jara</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10</w:t>
            </w:r>
          </w:p>
        </w:tc>
        <w:tc>
          <w:tcPr>
            <w:tcW w:w="236" w:type="dxa"/>
            <w:tcBorders>
              <w:top w:val="nil"/>
              <w:left w:val="single" w:sz="4" w:space="0" w:color="auto"/>
              <w:bottom w:val="nil"/>
              <w:right w:val="single" w:sz="4" w:space="0" w:color="auto"/>
            </w:tcBorders>
            <w:shd w:val="clear" w:color="auto" w:fill="auto"/>
          </w:tcPr>
          <w:p w:rsidR="00D63C03" w:rsidRPr="008739FA" w:rsidRDefault="00D63C03" w:rsidP="00EE353E">
            <w:pPr>
              <w:spacing w:before="20" w:after="20"/>
              <w:jc w:val="center"/>
              <w:rPr>
                <w:sz w:val="20"/>
                <w:szCs w:val="20"/>
              </w:rPr>
            </w:pPr>
          </w:p>
        </w:tc>
        <w:tc>
          <w:tcPr>
            <w:tcW w:w="711" w:type="dxa"/>
            <w:tcBorders>
              <w:left w:val="single" w:sz="4" w:space="0" w:color="auto"/>
            </w:tcBorders>
          </w:tcPr>
          <w:p w:rsidR="00D63C03" w:rsidRPr="008739FA" w:rsidRDefault="00D63C03" w:rsidP="00EE353E">
            <w:pPr>
              <w:spacing w:before="20" w:after="20"/>
              <w:jc w:val="center"/>
              <w:rPr>
                <w:rFonts w:eastAsia="Times New Roman"/>
                <w:color w:val="000000"/>
                <w:sz w:val="20"/>
                <w:szCs w:val="20"/>
                <w:lang w:eastAsia="hr-HR"/>
              </w:rPr>
            </w:pPr>
            <w:r w:rsidRPr="008739FA">
              <w:rPr>
                <w:sz w:val="20"/>
                <w:szCs w:val="20"/>
              </w:rPr>
              <w:t>4.</w:t>
            </w:r>
          </w:p>
        </w:tc>
        <w:tc>
          <w:tcPr>
            <w:tcW w:w="1890" w:type="dxa"/>
            <w:vAlign w:val="center"/>
          </w:tcPr>
          <w:p w:rsidR="00D63C03" w:rsidRPr="008739FA" w:rsidRDefault="00D63C03" w:rsidP="00EE353E">
            <w:pPr>
              <w:spacing w:before="20" w:after="20"/>
              <w:jc w:val="left"/>
              <w:rPr>
                <w:rFonts w:eastAsia="Times New Roman"/>
                <w:color w:val="000000"/>
                <w:sz w:val="20"/>
                <w:szCs w:val="20"/>
                <w:lang w:eastAsia="hr-HR"/>
              </w:rPr>
            </w:pPr>
            <w:r w:rsidRPr="008739FA">
              <w:rPr>
                <w:sz w:val="20"/>
                <w:szCs w:val="20"/>
              </w:rPr>
              <w:t>Lucerka</w:t>
            </w:r>
          </w:p>
        </w:tc>
        <w:tc>
          <w:tcPr>
            <w:tcW w:w="1980" w:type="dxa"/>
          </w:tcPr>
          <w:p w:rsidR="00D63C03" w:rsidRPr="008739FA" w:rsidRDefault="00D63C03" w:rsidP="00EE353E">
            <w:pPr>
              <w:spacing w:before="20" w:after="20"/>
              <w:jc w:val="center"/>
              <w:rPr>
                <w:rFonts w:eastAsia="Times New Roman"/>
                <w:color w:val="000000"/>
                <w:sz w:val="20"/>
                <w:szCs w:val="20"/>
                <w:lang w:eastAsia="hr-HR"/>
              </w:rPr>
            </w:pPr>
            <w:r w:rsidRPr="008739FA">
              <w:rPr>
                <w:sz w:val="20"/>
                <w:szCs w:val="20"/>
              </w:rPr>
              <w:t>140</w:t>
            </w: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5.</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Kukuruz za zrno</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3200</w:t>
            </w:r>
          </w:p>
        </w:tc>
        <w:tc>
          <w:tcPr>
            <w:tcW w:w="236" w:type="dxa"/>
            <w:tcBorders>
              <w:top w:val="nil"/>
              <w:left w:val="single" w:sz="4" w:space="0" w:color="auto"/>
              <w:bottom w:val="nil"/>
              <w:right w:val="single" w:sz="4" w:space="0" w:color="auto"/>
            </w:tcBorders>
            <w:shd w:val="clear" w:color="auto" w:fill="auto"/>
          </w:tcPr>
          <w:p w:rsidR="00D63C03" w:rsidRPr="008739FA" w:rsidRDefault="00D63C03" w:rsidP="00EE353E">
            <w:pPr>
              <w:spacing w:before="20" w:after="20"/>
              <w:jc w:val="center"/>
              <w:rPr>
                <w:sz w:val="20"/>
                <w:szCs w:val="20"/>
              </w:rPr>
            </w:pPr>
          </w:p>
        </w:tc>
        <w:tc>
          <w:tcPr>
            <w:tcW w:w="711" w:type="dxa"/>
            <w:tcBorders>
              <w:left w:val="single" w:sz="4" w:space="0" w:color="auto"/>
            </w:tcBorders>
          </w:tcPr>
          <w:p w:rsidR="00D63C03" w:rsidRPr="008739FA" w:rsidRDefault="00D63C03" w:rsidP="00EE353E">
            <w:pPr>
              <w:spacing w:before="20" w:after="20"/>
              <w:jc w:val="center"/>
              <w:rPr>
                <w:rFonts w:eastAsia="Times New Roman"/>
                <w:color w:val="000000"/>
                <w:sz w:val="20"/>
                <w:szCs w:val="20"/>
                <w:lang w:eastAsia="hr-HR"/>
              </w:rPr>
            </w:pPr>
            <w:r w:rsidRPr="008739FA">
              <w:rPr>
                <w:sz w:val="20"/>
                <w:szCs w:val="20"/>
              </w:rPr>
              <w:t>5.</w:t>
            </w:r>
          </w:p>
        </w:tc>
        <w:tc>
          <w:tcPr>
            <w:tcW w:w="1890" w:type="dxa"/>
            <w:vAlign w:val="center"/>
          </w:tcPr>
          <w:p w:rsidR="00D63C03" w:rsidRPr="008739FA" w:rsidRDefault="00D63C03" w:rsidP="00EE353E">
            <w:pPr>
              <w:spacing w:before="20" w:after="20"/>
              <w:jc w:val="left"/>
              <w:rPr>
                <w:rFonts w:eastAsia="Times New Roman"/>
                <w:color w:val="000000"/>
                <w:sz w:val="20"/>
                <w:szCs w:val="20"/>
                <w:lang w:eastAsia="hr-HR"/>
              </w:rPr>
            </w:pPr>
            <w:r w:rsidRPr="008739FA">
              <w:rPr>
                <w:sz w:val="20"/>
                <w:szCs w:val="20"/>
              </w:rPr>
              <w:t>DTS</w:t>
            </w:r>
          </w:p>
        </w:tc>
        <w:tc>
          <w:tcPr>
            <w:tcW w:w="1980" w:type="dxa"/>
          </w:tcPr>
          <w:p w:rsidR="00D63C03" w:rsidRPr="008739FA" w:rsidRDefault="00D63C03" w:rsidP="00EE353E">
            <w:pPr>
              <w:spacing w:before="20" w:after="20"/>
              <w:jc w:val="center"/>
              <w:rPr>
                <w:rFonts w:eastAsia="Times New Roman"/>
                <w:color w:val="000000"/>
                <w:sz w:val="20"/>
                <w:szCs w:val="20"/>
                <w:lang w:eastAsia="hr-HR"/>
              </w:rPr>
            </w:pPr>
            <w:r w:rsidRPr="008739FA">
              <w:rPr>
                <w:sz w:val="20"/>
                <w:szCs w:val="20"/>
              </w:rPr>
              <w:t>190</w:t>
            </w: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6.</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Kukuruz za silažu</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1900</w:t>
            </w:r>
          </w:p>
        </w:tc>
        <w:tc>
          <w:tcPr>
            <w:tcW w:w="236" w:type="dxa"/>
            <w:tcBorders>
              <w:top w:val="nil"/>
              <w:left w:val="single" w:sz="4" w:space="0" w:color="auto"/>
              <w:bottom w:val="nil"/>
              <w:right w:val="single" w:sz="4" w:space="0" w:color="auto"/>
            </w:tcBorders>
            <w:shd w:val="clear" w:color="auto" w:fill="auto"/>
          </w:tcPr>
          <w:p w:rsidR="00D63C03" w:rsidRPr="008739FA" w:rsidRDefault="00D63C03" w:rsidP="00EE353E">
            <w:pPr>
              <w:spacing w:before="20" w:after="20"/>
              <w:jc w:val="center"/>
              <w:rPr>
                <w:sz w:val="20"/>
                <w:szCs w:val="20"/>
              </w:rPr>
            </w:pPr>
          </w:p>
        </w:tc>
        <w:tc>
          <w:tcPr>
            <w:tcW w:w="711" w:type="dxa"/>
            <w:tcBorders>
              <w:left w:val="single" w:sz="4" w:space="0" w:color="auto"/>
            </w:tcBorders>
          </w:tcPr>
          <w:p w:rsidR="00D63C03" w:rsidRPr="008739FA" w:rsidRDefault="00D63C03" w:rsidP="00EE353E">
            <w:pPr>
              <w:spacing w:before="20" w:after="20"/>
              <w:jc w:val="center"/>
              <w:rPr>
                <w:rFonts w:eastAsia="Times New Roman"/>
                <w:color w:val="000000"/>
                <w:sz w:val="20"/>
                <w:szCs w:val="20"/>
                <w:lang w:eastAsia="hr-HR"/>
              </w:rPr>
            </w:pPr>
            <w:r w:rsidRPr="008739FA">
              <w:rPr>
                <w:sz w:val="20"/>
                <w:szCs w:val="20"/>
              </w:rPr>
              <w:t>6.</w:t>
            </w:r>
          </w:p>
        </w:tc>
        <w:tc>
          <w:tcPr>
            <w:tcW w:w="1890" w:type="dxa"/>
            <w:vAlign w:val="center"/>
          </w:tcPr>
          <w:p w:rsidR="00D63C03" w:rsidRPr="008739FA" w:rsidRDefault="00D63C03" w:rsidP="00EE353E">
            <w:pPr>
              <w:spacing w:before="20" w:after="20"/>
              <w:jc w:val="left"/>
              <w:rPr>
                <w:rFonts w:eastAsia="Times New Roman"/>
                <w:color w:val="000000"/>
                <w:sz w:val="20"/>
                <w:szCs w:val="20"/>
                <w:lang w:eastAsia="hr-HR"/>
              </w:rPr>
            </w:pPr>
            <w:r w:rsidRPr="008739FA">
              <w:rPr>
                <w:sz w:val="20"/>
                <w:szCs w:val="20"/>
              </w:rPr>
              <w:t>Ječam</w:t>
            </w:r>
          </w:p>
        </w:tc>
        <w:tc>
          <w:tcPr>
            <w:tcW w:w="1980" w:type="dxa"/>
          </w:tcPr>
          <w:p w:rsidR="00D63C03" w:rsidRPr="008739FA" w:rsidRDefault="00D63C03" w:rsidP="00EE353E">
            <w:pPr>
              <w:spacing w:before="20" w:after="20"/>
              <w:jc w:val="center"/>
              <w:rPr>
                <w:rFonts w:eastAsia="Times New Roman"/>
                <w:color w:val="000000"/>
                <w:sz w:val="20"/>
                <w:szCs w:val="20"/>
                <w:lang w:eastAsia="hr-HR"/>
              </w:rPr>
            </w:pPr>
            <w:r w:rsidRPr="008739FA">
              <w:rPr>
                <w:sz w:val="20"/>
                <w:szCs w:val="20"/>
              </w:rPr>
              <w:t>60</w:t>
            </w: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7.</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Djetelina</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95</w:t>
            </w:r>
          </w:p>
        </w:tc>
        <w:tc>
          <w:tcPr>
            <w:tcW w:w="236" w:type="dxa"/>
            <w:tcBorders>
              <w:top w:val="nil"/>
              <w:left w:val="single" w:sz="4" w:space="0" w:color="auto"/>
              <w:bottom w:val="nil"/>
              <w:right w:val="single" w:sz="4" w:space="0" w:color="auto"/>
            </w:tcBorders>
            <w:shd w:val="clear" w:color="auto" w:fill="auto"/>
          </w:tcPr>
          <w:p w:rsidR="00D63C03" w:rsidRPr="008739FA" w:rsidRDefault="00D63C03" w:rsidP="00EE353E">
            <w:pPr>
              <w:spacing w:before="20" w:after="20"/>
              <w:jc w:val="center"/>
              <w:rPr>
                <w:sz w:val="20"/>
                <w:szCs w:val="20"/>
              </w:rPr>
            </w:pPr>
          </w:p>
        </w:tc>
        <w:tc>
          <w:tcPr>
            <w:tcW w:w="711" w:type="dxa"/>
            <w:tcBorders>
              <w:left w:val="single" w:sz="4" w:space="0" w:color="auto"/>
            </w:tcBorders>
          </w:tcPr>
          <w:p w:rsidR="00D63C03" w:rsidRPr="008739FA" w:rsidRDefault="00D63C03" w:rsidP="00EE353E">
            <w:pPr>
              <w:spacing w:before="20" w:after="20"/>
              <w:jc w:val="center"/>
              <w:rPr>
                <w:rFonts w:eastAsia="Times New Roman"/>
                <w:color w:val="000000"/>
                <w:sz w:val="20"/>
                <w:szCs w:val="20"/>
                <w:lang w:eastAsia="hr-HR"/>
              </w:rPr>
            </w:pPr>
            <w:r w:rsidRPr="008739FA">
              <w:rPr>
                <w:sz w:val="20"/>
                <w:szCs w:val="20"/>
              </w:rPr>
              <w:t>7</w:t>
            </w:r>
          </w:p>
        </w:tc>
        <w:tc>
          <w:tcPr>
            <w:tcW w:w="1890" w:type="dxa"/>
            <w:vAlign w:val="center"/>
          </w:tcPr>
          <w:p w:rsidR="00D63C03" w:rsidRPr="008739FA" w:rsidRDefault="00D63C03" w:rsidP="00EE353E">
            <w:pPr>
              <w:spacing w:before="20" w:after="20"/>
              <w:jc w:val="left"/>
              <w:rPr>
                <w:rFonts w:eastAsia="Times New Roman"/>
                <w:color w:val="000000"/>
                <w:sz w:val="20"/>
                <w:szCs w:val="20"/>
                <w:lang w:eastAsia="hr-HR"/>
              </w:rPr>
            </w:pPr>
            <w:r w:rsidRPr="008739FA">
              <w:rPr>
                <w:sz w:val="20"/>
                <w:szCs w:val="20"/>
              </w:rPr>
              <w:t>Povrće</w:t>
            </w:r>
          </w:p>
        </w:tc>
        <w:tc>
          <w:tcPr>
            <w:tcW w:w="1980" w:type="dxa"/>
          </w:tcPr>
          <w:p w:rsidR="00D63C03" w:rsidRPr="008739FA" w:rsidRDefault="00D63C03" w:rsidP="00EE353E">
            <w:pPr>
              <w:spacing w:before="20" w:after="20"/>
              <w:jc w:val="center"/>
              <w:rPr>
                <w:rFonts w:eastAsia="Times New Roman"/>
                <w:color w:val="000000"/>
                <w:sz w:val="20"/>
                <w:szCs w:val="20"/>
                <w:lang w:eastAsia="hr-HR"/>
              </w:rPr>
            </w:pPr>
            <w:r w:rsidRPr="008739FA">
              <w:rPr>
                <w:sz w:val="20"/>
                <w:szCs w:val="20"/>
              </w:rPr>
              <w:t>2</w:t>
            </w: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8.</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Lucerka</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155</w:t>
            </w:r>
          </w:p>
        </w:tc>
        <w:tc>
          <w:tcPr>
            <w:tcW w:w="236" w:type="dxa"/>
            <w:tcBorders>
              <w:top w:val="nil"/>
              <w:left w:val="single" w:sz="4" w:space="0" w:color="auto"/>
              <w:bottom w:val="nil"/>
              <w:right w:val="single" w:sz="4" w:space="0" w:color="auto"/>
            </w:tcBorders>
            <w:shd w:val="clear" w:color="auto" w:fill="auto"/>
          </w:tcPr>
          <w:p w:rsidR="00D63C03" w:rsidRPr="008739FA" w:rsidRDefault="00D63C03" w:rsidP="00EE353E">
            <w:pPr>
              <w:spacing w:before="20" w:after="20"/>
              <w:jc w:val="center"/>
              <w:rPr>
                <w:sz w:val="20"/>
                <w:szCs w:val="20"/>
              </w:rPr>
            </w:pPr>
          </w:p>
        </w:tc>
        <w:tc>
          <w:tcPr>
            <w:tcW w:w="711" w:type="dxa"/>
            <w:tcBorders>
              <w:left w:val="single" w:sz="4" w:space="0" w:color="auto"/>
              <w:bottom w:val="single" w:sz="4" w:space="0" w:color="auto"/>
            </w:tcBorders>
          </w:tcPr>
          <w:p w:rsidR="00D63C03" w:rsidRPr="008739FA" w:rsidRDefault="00D63C03" w:rsidP="00EE353E">
            <w:pPr>
              <w:spacing w:before="20" w:after="20"/>
              <w:jc w:val="center"/>
              <w:rPr>
                <w:rFonts w:eastAsia="Times New Roman"/>
                <w:color w:val="000000"/>
                <w:sz w:val="20"/>
                <w:szCs w:val="20"/>
                <w:lang w:eastAsia="hr-HR"/>
              </w:rPr>
            </w:pPr>
            <w:r w:rsidRPr="008739FA">
              <w:rPr>
                <w:sz w:val="20"/>
                <w:szCs w:val="20"/>
              </w:rPr>
              <w:t>8</w:t>
            </w:r>
          </w:p>
        </w:tc>
        <w:tc>
          <w:tcPr>
            <w:tcW w:w="1890" w:type="dxa"/>
            <w:tcBorders>
              <w:bottom w:val="single" w:sz="4" w:space="0" w:color="auto"/>
            </w:tcBorders>
            <w:vAlign w:val="center"/>
          </w:tcPr>
          <w:p w:rsidR="00D63C03" w:rsidRPr="008739FA" w:rsidRDefault="00D63C03" w:rsidP="00EE353E">
            <w:pPr>
              <w:spacing w:before="20" w:after="20"/>
              <w:jc w:val="left"/>
              <w:rPr>
                <w:rFonts w:eastAsia="Times New Roman"/>
                <w:color w:val="000000"/>
                <w:sz w:val="20"/>
                <w:szCs w:val="20"/>
                <w:lang w:eastAsia="hr-HR"/>
              </w:rPr>
            </w:pPr>
            <w:r w:rsidRPr="008739FA">
              <w:rPr>
                <w:sz w:val="20"/>
                <w:szCs w:val="20"/>
              </w:rPr>
              <w:t>Stočni grašak</w:t>
            </w:r>
          </w:p>
        </w:tc>
        <w:tc>
          <w:tcPr>
            <w:tcW w:w="1980" w:type="dxa"/>
            <w:tcBorders>
              <w:bottom w:val="single" w:sz="4" w:space="0" w:color="auto"/>
            </w:tcBorders>
          </w:tcPr>
          <w:p w:rsidR="00D63C03" w:rsidRPr="008739FA" w:rsidRDefault="00D63C03" w:rsidP="00EE353E">
            <w:pPr>
              <w:spacing w:before="20" w:after="20"/>
              <w:jc w:val="center"/>
              <w:rPr>
                <w:rFonts w:eastAsia="Times New Roman"/>
                <w:color w:val="000000"/>
                <w:sz w:val="20"/>
                <w:szCs w:val="20"/>
                <w:lang w:eastAsia="hr-HR"/>
              </w:rPr>
            </w:pPr>
            <w:r w:rsidRPr="008739FA">
              <w:rPr>
                <w:sz w:val="20"/>
                <w:szCs w:val="20"/>
              </w:rPr>
              <w:t>10</w:t>
            </w: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9.</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DTS</w:t>
            </w:r>
          </w:p>
        </w:tc>
        <w:tc>
          <w:tcPr>
            <w:tcW w:w="1595" w:type="dxa"/>
            <w:tcBorders>
              <w:bottom w:val="single" w:sz="4" w:space="0" w:color="auto"/>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800</w:t>
            </w:r>
          </w:p>
        </w:tc>
        <w:tc>
          <w:tcPr>
            <w:tcW w:w="236" w:type="dxa"/>
            <w:tcBorders>
              <w:top w:val="nil"/>
              <w:left w:val="single" w:sz="4" w:space="0" w:color="auto"/>
              <w:bottom w:val="nil"/>
              <w:right w:val="single" w:sz="4" w:space="0" w:color="auto"/>
            </w:tcBorders>
            <w:shd w:val="clear" w:color="auto" w:fill="auto"/>
          </w:tcPr>
          <w:p w:rsidR="00D63C03" w:rsidRPr="008739FA" w:rsidRDefault="00D63C03" w:rsidP="00EE353E">
            <w:pPr>
              <w:spacing w:before="20" w:after="20"/>
              <w:jc w:val="center"/>
              <w:rPr>
                <w:rFonts w:eastAsia="Times New Roman"/>
                <w:color w:val="000000"/>
                <w:sz w:val="20"/>
                <w:szCs w:val="20"/>
                <w:lang w:eastAsia="hr-HR"/>
              </w:rPr>
            </w:pPr>
          </w:p>
        </w:tc>
        <w:tc>
          <w:tcPr>
            <w:tcW w:w="711" w:type="dxa"/>
            <w:tcBorders>
              <w:left w:val="single" w:sz="4" w:space="0" w:color="auto"/>
              <w:bottom w:val="single" w:sz="4" w:space="0" w:color="auto"/>
            </w:tcBorders>
            <w:shd w:val="clear" w:color="auto" w:fill="D9D9D9" w:themeFill="background1" w:themeFillShade="D9"/>
          </w:tcPr>
          <w:p w:rsidR="00D63C03" w:rsidRPr="008739FA" w:rsidRDefault="00D63C03" w:rsidP="00EE353E">
            <w:pPr>
              <w:spacing w:before="20" w:after="20"/>
              <w:jc w:val="center"/>
              <w:rPr>
                <w:rFonts w:eastAsia="Times New Roman"/>
                <w:color w:val="000000"/>
                <w:sz w:val="20"/>
                <w:szCs w:val="20"/>
                <w:lang w:eastAsia="hr-HR"/>
              </w:rPr>
            </w:pPr>
          </w:p>
        </w:tc>
        <w:tc>
          <w:tcPr>
            <w:tcW w:w="1890" w:type="dxa"/>
            <w:tcBorders>
              <w:bottom w:val="single" w:sz="4" w:space="0" w:color="auto"/>
            </w:tcBorders>
            <w:shd w:val="clear" w:color="auto" w:fill="D9D9D9" w:themeFill="background1" w:themeFillShade="D9"/>
            <w:vAlign w:val="center"/>
          </w:tcPr>
          <w:p w:rsidR="00D63C03" w:rsidRPr="008739FA" w:rsidRDefault="00D63C03" w:rsidP="00EE353E">
            <w:pPr>
              <w:spacing w:before="20" w:after="20"/>
              <w:jc w:val="left"/>
              <w:rPr>
                <w:rFonts w:eastAsia="Times New Roman"/>
                <w:color w:val="000000"/>
                <w:sz w:val="20"/>
                <w:szCs w:val="20"/>
                <w:lang w:eastAsia="hr-HR"/>
              </w:rPr>
            </w:pPr>
            <w:r w:rsidRPr="008739FA">
              <w:rPr>
                <w:b/>
                <w:sz w:val="20"/>
                <w:szCs w:val="20"/>
              </w:rPr>
              <w:t>UKUPNO</w:t>
            </w:r>
          </w:p>
        </w:tc>
        <w:tc>
          <w:tcPr>
            <w:tcW w:w="1980" w:type="dxa"/>
            <w:tcBorders>
              <w:bottom w:val="single" w:sz="4" w:space="0" w:color="auto"/>
            </w:tcBorders>
            <w:shd w:val="clear" w:color="auto" w:fill="D9D9D9" w:themeFill="background1" w:themeFillShade="D9"/>
          </w:tcPr>
          <w:p w:rsidR="00D63C03" w:rsidRPr="008739FA" w:rsidRDefault="00D63C03" w:rsidP="00EE353E">
            <w:pPr>
              <w:spacing w:before="20" w:after="20"/>
              <w:jc w:val="center"/>
              <w:rPr>
                <w:rFonts w:eastAsia="Times New Roman"/>
                <w:color w:val="000000"/>
                <w:sz w:val="20"/>
                <w:szCs w:val="20"/>
                <w:lang w:eastAsia="hr-HR"/>
              </w:rPr>
            </w:pPr>
            <w:r w:rsidRPr="008739FA">
              <w:rPr>
                <w:b/>
                <w:sz w:val="20"/>
                <w:szCs w:val="20"/>
              </w:rPr>
              <w:t>1112</w:t>
            </w: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10.</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Duhan</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w:t>
            </w:r>
          </w:p>
        </w:tc>
        <w:tc>
          <w:tcPr>
            <w:tcW w:w="236" w:type="dxa"/>
            <w:tcBorders>
              <w:top w:val="nil"/>
              <w:left w:val="single" w:sz="4" w:space="0" w:color="auto"/>
              <w:bottom w:val="nil"/>
              <w:right w:val="nil"/>
            </w:tcBorders>
            <w:shd w:val="clear" w:color="auto" w:fill="auto"/>
          </w:tcPr>
          <w:p w:rsidR="00D63C03" w:rsidRPr="008739FA" w:rsidRDefault="00D63C03" w:rsidP="00EE353E">
            <w:pPr>
              <w:spacing w:before="20" w:after="20"/>
              <w:jc w:val="center"/>
              <w:rPr>
                <w:rFonts w:eastAsia="Times New Roman"/>
                <w:color w:val="000000"/>
                <w:sz w:val="20"/>
                <w:szCs w:val="20"/>
                <w:lang w:eastAsia="hr-HR"/>
              </w:rPr>
            </w:pPr>
          </w:p>
        </w:tc>
        <w:tc>
          <w:tcPr>
            <w:tcW w:w="711" w:type="dxa"/>
            <w:tcBorders>
              <w:top w:val="single" w:sz="4" w:space="0" w:color="auto"/>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c>
          <w:tcPr>
            <w:tcW w:w="1890" w:type="dxa"/>
            <w:tcBorders>
              <w:top w:val="single" w:sz="4" w:space="0" w:color="auto"/>
              <w:left w:val="nil"/>
              <w:bottom w:val="nil"/>
              <w:right w:val="nil"/>
            </w:tcBorders>
            <w:vAlign w:val="center"/>
          </w:tcPr>
          <w:p w:rsidR="00D63C03" w:rsidRPr="008739FA" w:rsidRDefault="00D63C03" w:rsidP="00EE353E">
            <w:pPr>
              <w:spacing w:before="20" w:after="20"/>
              <w:jc w:val="left"/>
              <w:rPr>
                <w:rFonts w:eastAsia="Times New Roman"/>
                <w:color w:val="000000"/>
                <w:sz w:val="20"/>
                <w:szCs w:val="20"/>
                <w:lang w:eastAsia="hr-HR"/>
              </w:rPr>
            </w:pPr>
          </w:p>
        </w:tc>
        <w:tc>
          <w:tcPr>
            <w:tcW w:w="1980" w:type="dxa"/>
            <w:tcBorders>
              <w:top w:val="single" w:sz="4" w:space="0" w:color="auto"/>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11.</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Krompir</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910</w:t>
            </w:r>
          </w:p>
        </w:tc>
        <w:tc>
          <w:tcPr>
            <w:tcW w:w="236" w:type="dxa"/>
            <w:tcBorders>
              <w:top w:val="nil"/>
              <w:left w:val="single" w:sz="4" w:space="0" w:color="auto"/>
              <w:bottom w:val="nil"/>
              <w:right w:val="nil"/>
            </w:tcBorders>
            <w:shd w:val="clear" w:color="auto" w:fill="auto"/>
          </w:tcPr>
          <w:p w:rsidR="00D63C03" w:rsidRPr="008739FA" w:rsidRDefault="00D63C03" w:rsidP="00EE353E">
            <w:pPr>
              <w:spacing w:before="20" w:after="20"/>
              <w:jc w:val="center"/>
              <w:rPr>
                <w:rFonts w:eastAsia="Times New Roman"/>
                <w:color w:val="000000"/>
                <w:sz w:val="20"/>
                <w:szCs w:val="20"/>
                <w:lang w:eastAsia="hr-HR"/>
              </w:rPr>
            </w:pPr>
          </w:p>
        </w:tc>
        <w:tc>
          <w:tcPr>
            <w:tcW w:w="711"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c>
          <w:tcPr>
            <w:tcW w:w="1890" w:type="dxa"/>
            <w:tcBorders>
              <w:top w:val="nil"/>
              <w:left w:val="nil"/>
              <w:bottom w:val="nil"/>
              <w:right w:val="nil"/>
            </w:tcBorders>
            <w:vAlign w:val="center"/>
          </w:tcPr>
          <w:p w:rsidR="00D63C03" w:rsidRPr="008739FA" w:rsidRDefault="00D63C03" w:rsidP="00EE353E">
            <w:pPr>
              <w:spacing w:before="20" w:after="20"/>
              <w:jc w:val="left"/>
              <w:rPr>
                <w:rFonts w:eastAsia="Times New Roman"/>
                <w:color w:val="000000"/>
                <w:sz w:val="20"/>
                <w:szCs w:val="20"/>
                <w:lang w:eastAsia="hr-HR"/>
              </w:rPr>
            </w:pPr>
          </w:p>
        </w:tc>
        <w:tc>
          <w:tcPr>
            <w:tcW w:w="1980"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12.</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Grah</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90</w:t>
            </w:r>
          </w:p>
        </w:tc>
        <w:tc>
          <w:tcPr>
            <w:tcW w:w="236" w:type="dxa"/>
            <w:tcBorders>
              <w:top w:val="nil"/>
              <w:left w:val="single" w:sz="4" w:space="0" w:color="auto"/>
              <w:bottom w:val="nil"/>
              <w:right w:val="nil"/>
            </w:tcBorders>
            <w:shd w:val="clear" w:color="auto" w:fill="auto"/>
          </w:tcPr>
          <w:p w:rsidR="00D63C03" w:rsidRPr="008739FA" w:rsidRDefault="00D63C03" w:rsidP="00EE353E">
            <w:pPr>
              <w:spacing w:before="20" w:after="20"/>
              <w:jc w:val="center"/>
              <w:rPr>
                <w:rFonts w:eastAsia="Times New Roman"/>
                <w:color w:val="000000"/>
                <w:sz w:val="20"/>
                <w:szCs w:val="20"/>
                <w:lang w:eastAsia="hr-HR"/>
              </w:rPr>
            </w:pPr>
          </w:p>
        </w:tc>
        <w:tc>
          <w:tcPr>
            <w:tcW w:w="711"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c>
          <w:tcPr>
            <w:tcW w:w="1890" w:type="dxa"/>
            <w:tcBorders>
              <w:top w:val="nil"/>
              <w:left w:val="nil"/>
              <w:bottom w:val="nil"/>
              <w:right w:val="nil"/>
            </w:tcBorders>
            <w:vAlign w:val="center"/>
          </w:tcPr>
          <w:p w:rsidR="00D63C03" w:rsidRPr="008739FA" w:rsidRDefault="00D63C03" w:rsidP="00EE353E">
            <w:pPr>
              <w:spacing w:before="20" w:after="20"/>
              <w:jc w:val="left"/>
              <w:rPr>
                <w:rFonts w:eastAsia="Times New Roman"/>
                <w:color w:val="000000"/>
                <w:sz w:val="20"/>
                <w:szCs w:val="20"/>
                <w:lang w:eastAsia="hr-HR"/>
              </w:rPr>
            </w:pPr>
          </w:p>
        </w:tc>
        <w:tc>
          <w:tcPr>
            <w:tcW w:w="1980"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13.</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Luk crni</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60</w:t>
            </w:r>
          </w:p>
        </w:tc>
        <w:tc>
          <w:tcPr>
            <w:tcW w:w="236" w:type="dxa"/>
            <w:tcBorders>
              <w:top w:val="nil"/>
              <w:left w:val="single" w:sz="4" w:space="0" w:color="auto"/>
              <w:bottom w:val="nil"/>
              <w:right w:val="nil"/>
            </w:tcBorders>
            <w:shd w:val="clear" w:color="auto" w:fill="auto"/>
          </w:tcPr>
          <w:p w:rsidR="00D63C03" w:rsidRPr="008739FA" w:rsidRDefault="00D63C03" w:rsidP="00EE353E">
            <w:pPr>
              <w:spacing w:before="20" w:after="20"/>
              <w:jc w:val="center"/>
              <w:rPr>
                <w:rFonts w:eastAsia="Times New Roman"/>
                <w:color w:val="000000"/>
                <w:sz w:val="20"/>
                <w:szCs w:val="20"/>
                <w:lang w:eastAsia="hr-HR"/>
              </w:rPr>
            </w:pPr>
          </w:p>
        </w:tc>
        <w:tc>
          <w:tcPr>
            <w:tcW w:w="711"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c>
          <w:tcPr>
            <w:tcW w:w="1890" w:type="dxa"/>
            <w:tcBorders>
              <w:top w:val="nil"/>
              <w:left w:val="nil"/>
              <w:bottom w:val="nil"/>
              <w:right w:val="nil"/>
            </w:tcBorders>
            <w:vAlign w:val="center"/>
          </w:tcPr>
          <w:p w:rsidR="00D63C03" w:rsidRPr="008739FA" w:rsidRDefault="00D63C03" w:rsidP="00EE353E">
            <w:pPr>
              <w:spacing w:before="20" w:after="20"/>
              <w:jc w:val="left"/>
              <w:rPr>
                <w:rFonts w:eastAsia="Times New Roman"/>
                <w:color w:val="000000"/>
                <w:sz w:val="20"/>
                <w:szCs w:val="20"/>
                <w:lang w:eastAsia="hr-HR"/>
              </w:rPr>
            </w:pPr>
          </w:p>
        </w:tc>
        <w:tc>
          <w:tcPr>
            <w:tcW w:w="1980"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14.</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Luk bijeli</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15</w:t>
            </w:r>
          </w:p>
        </w:tc>
        <w:tc>
          <w:tcPr>
            <w:tcW w:w="236" w:type="dxa"/>
            <w:tcBorders>
              <w:top w:val="nil"/>
              <w:left w:val="single" w:sz="4" w:space="0" w:color="auto"/>
              <w:bottom w:val="nil"/>
              <w:right w:val="nil"/>
            </w:tcBorders>
            <w:shd w:val="clear" w:color="auto" w:fill="auto"/>
          </w:tcPr>
          <w:p w:rsidR="00D63C03" w:rsidRPr="008739FA" w:rsidRDefault="00D63C03" w:rsidP="00EE353E">
            <w:pPr>
              <w:spacing w:before="20" w:after="20"/>
              <w:jc w:val="center"/>
              <w:rPr>
                <w:rFonts w:eastAsia="Times New Roman"/>
                <w:color w:val="000000"/>
                <w:sz w:val="20"/>
                <w:szCs w:val="20"/>
                <w:lang w:eastAsia="hr-HR"/>
              </w:rPr>
            </w:pPr>
          </w:p>
        </w:tc>
        <w:tc>
          <w:tcPr>
            <w:tcW w:w="711"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c>
          <w:tcPr>
            <w:tcW w:w="1890" w:type="dxa"/>
            <w:tcBorders>
              <w:top w:val="nil"/>
              <w:left w:val="nil"/>
              <w:bottom w:val="nil"/>
              <w:right w:val="nil"/>
            </w:tcBorders>
            <w:vAlign w:val="center"/>
          </w:tcPr>
          <w:p w:rsidR="00D63C03" w:rsidRPr="008739FA" w:rsidRDefault="00D63C03" w:rsidP="00EE353E">
            <w:pPr>
              <w:spacing w:before="20" w:after="20"/>
              <w:jc w:val="left"/>
              <w:rPr>
                <w:rFonts w:eastAsia="Times New Roman"/>
                <w:color w:val="000000"/>
                <w:sz w:val="20"/>
                <w:szCs w:val="20"/>
                <w:lang w:eastAsia="hr-HR"/>
              </w:rPr>
            </w:pPr>
          </w:p>
        </w:tc>
        <w:tc>
          <w:tcPr>
            <w:tcW w:w="1980"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15.</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Kupus</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25</w:t>
            </w:r>
          </w:p>
        </w:tc>
        <w:tc>
          <w:tcPr>
            <w:tcW w:w="236" w:type="dxa"/>
            <w:tcBorders>
              <w:top w:val="nil"/>
              <w:left w:val="single" w:sz="4" w:space="0" w:color="auto"/>
              <w:bottom w:val="nil"/>
              <w:right w:val="nil"/>
            </w:tcBorders>
            <w:shd w:val="clear" w:color="auto" w:fill="auto"/>
          </w:tcPr>
          <w:p w:rsidR="00D63C03" w:rsidRPr="008739FA" w:rsidRDefault="00D63C03" w:rsidP="00EE353E">
            <w:pPr>
              <w:spacing w:before="20" w:after="20"/>
              <w:jc w:val="center"/>
              <w:rPr>
                <w:rFonts w:eastAsia="Times New Roman"/>
                <w:color w:val="000000"/>
                <w:sz w:val="20"/>
                <w:szCs w:val="20"/>
                <w:lang w:eastAsia="hr-HR"/>
              </w:rPr>
            </w:pPr>
          </w:p>
        </w:tc>
        <w:tc>
          <w:tcPr>
            <w:tcW w:w="711"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c>
          <w:tcPr>
            <w:tcW w:w="1890" w:type="dxa"/>
            <w:tcBorders>
              <w:top w:val="nil"/>
              <w:left w:val="nil"/>
              <w:bottom w:val="nil"/>
              <w:right w:val="nil"/>
            </w:tcBorders>
            <w:vAlign w:val="center"/>
          </w:tcPr>
          <w:p w:rsidR="00D63C03" w:rsidRPr="008739FA" w:rsidRDefault="00D63C03" w:rsidP="00EE353E">
            <w:pPr>
              <w:spacing w:before="20" w:after="20"/>
              <w:jc w:val="left"/>
              <w:rPr>
                <w:rFonts w:eastAsia="Times New Roman"/>
                <w:color w:val="000000"/>
                <w:sz w:val="20"/>
                <w:szCs w:val="20"/>
                <w:lang w:eastAsia="hr-HR"/>
              </w:rPr>
            </w:pPr>
          </w:p>
        </w:tc>
        <w:tc>
          <w:tcPr>
            <w:tcW w:w="1980"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16.</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Paradajz</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65</w:t>
            </w:r>
          </w:p>
        </w:tc>
        <w:tc>
          <w:tcPr>
            <w:tcW w:w="236" w:type="dxa"/>
            <w:tcBorders>
              <w:top w:val="nil"/>
              <w:left w:val="single" w:sz="4" w:space="0" w:color="auto"/>
              <w:bottom w:val="nil"/>
              <w:right w:val="nil"/>
            </w:tcBorders>
            <w:shd w:val="clear" w:color="auto" w:fill="auto"/>
          </w:tcPr>
          <w:p w:rsidR="00D63C03" w:rsidRPr="008739FA" w:rsidRDefault="00D63C03" w:rsidP="00EE353E">
            <w:pPr>
              <w:spacing w:before="20" w:after="20"/>
              <w:jc w:val="center"/>
              <w:rPr>
                <w:rFonts w:eastAsia="Times New Roman"/>
                <w:color w:val="000000"/>
                <w:sz w:val="20"/>
                <w:szCs w:val="20"/>
                <w:lang w:eastAsia="hr-HR"/>
              </w:rPr>
            </w:pPr>
          </w:p>
        </w:tc>
        <w:tc>
          <w:tcPr>
            <w:tcW w:w="711"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c>
          <w:tcPr>
            <w:tcW w:w="1890" w:type="dxa"/>
            <w:tcBorders>
              <w:top w:val="nil"/>
              <w:left w:val="nil"/>
              <w:bottom w:val="nil"/>
              <w:right w:val="nil"/>
            </w:tcBorders>
            <w:vAlign w:val="center"/>
          </w:tcPr>
          <w:p w:rsidR="00D63C03" w:rsidRPr="008739FA" w:rsidRDefault="00D63C03" w:rsidP="00EE353E">
            <w:pPr>
              <w:spacing w:before="20" w:after="20"/>
              <w:jc w:val="left"/>
              <w:rPr>
                <w:rFonts w:eastAsia="Times New Roman"/>
                <w:color w:val="000000"/>
                <w:sz w:val="20"/>
                <w:szCs w:val="20"/>
                <w:lang w:eastAsia="hr-HR"/>
              </w:rPr>
            </w:pPr>
          </w:p>
        </w:tc>
        <w:tc>
          <w:tcPr>
            <w:tcW w:w="1980"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17.</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Paprika</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65</w:t>
            </w:r>
          </w:p>
        </w:tc>
        <w:tc>
          <w:tcPr>
            <w:tcW w:w="236" w:type="dxa"/>
            <w:tcBorders>
              <w:top w:val="nil"/>
              <w:left w:val="single" w:sz="4" w:space="0" w:color="auto"/>
              <w:bottom w:val="nil"/>
              <w:right w:val="nil"/>
            </w:tcBorders>
            <w:shd w:val="clear" w:color="auto" w:fill="auto"/>
          </w:tcPr>
          <w:p w:rsidR="00D63C03" w:rsidRPr="008739FA" w:rsidRDefault="00D63C03" w:rsidP="00EE353E">
            <w:pPr>
              <w:spacing w:before="20" w:after="20"/>
              <w:jc w:val="center"/>
              <w:rPr>
                <w:rFonts w:eastAsia="Times New Roman"/>
                <w:color w:val="000000"/>
                <w:sz w:val="20"/>
                <w:szCs w:val="20"/>
                <w:lang w:eastAsia="hr-HR"/>
              </w:rPr>
            </w:pPr>
          </w:p>
        </w:tc>
        <w:tc>
          <w:tcPr>
            <w:tcW w:w="711"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c>
          <w:tcPr>
            <w:tcW w:w="1890" w:type="dxa"/>
            <w:tcBorders>
              <w:top w:val="nil"/>
              <w:left w:val="nil"/>
              <w:bottom w:val="nil"/>
              <w:right w:val="nil"/>
            </w:tcBorders>
            <w:vAlign w:val="center"/>
          </w:tcPr>
          <w:p w:rsidR="00D63C03" w:rsidRPr="008739FA" w:rsidRDefault="00D63C03" w:rsidP="00EE353E">
            <w:pPr>
              <w:spacing w:before="20" w:after="20"/>
              <w:jc w:val="left"/>
              <w:rPr>
                <w:rFonts w:eastAsia="Times New Roman"/>
                <w:color w:val="000000"/>
                <w:sz w:val="20"/>
                <w:szCs w:val="20"/>
                <w:lang w:eastAsia="hr-HR"/>
              </w:rPr>
            </w:pPr>
          </w:p>
        </w:tc>
        <w:tc>
          <w:tcPr>
            <w:tcW w:w="1980"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18.</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Krastavac</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70</w:t>
            </w:r>
          </w:p>
        </w:tc>
        <w:tc>
          <w:tcPr>
            <w:tcW w:w="236" w:type="dxa"/>
            <w:tcBorders>
              <w:top w:val="nil"/>
              <w:left w:val="single" w:sz="4" w:space="0" w:color="auto"/>
              <w:bottom w:val="nil"/>
              <w:right w:val="nil"/>
            </w:tcBorders>
            <w:shd w:val="clear" w:color="auto" w:fill="auto"/>
          </w:tcPr>
          <w:p w:rsidR="00D63C03" w:rsidRPr="008739FA" w:rsidRDefault="00D63C03" w:rsidP="00EE353E">
            <w:pPr>
              <w:spacing w:before="20" w:after="20"/>
              <w:jc w:val="center"/>
              <w:rPr>
                <w:rFonts w:eastAsia="Times New Roman"/>
                <w:color w:val="000000"/>
                <w:sz w:val="20"/>
                <w:szCs w:val="20"/>
                <w:lang w:eastAsia="hr-HR"/>
              </w:rPr>
            </w:pPr>
          </w:p>
        </w:tc>
        <w:tc>
          <w:tcPr>
            <w:tcW w:w="711"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c>
          <w:tcPr>
            <w:tcW w:w="1890" w:type="dxa"/>
            <w:tcBorders>
              <w:top w:val="nil"/>
              <w:left w:val="nil"/>
              <w:bottom w:val="nil"/>
              <w:right w:val="nil"/>
            </w:tcBorders>
            <w:vAlign w:val="center"/>
          </w:tcPr>
          <w:p w:rsidR="00D63C03" w:rsidRPr="008739FA" w:rsidRDefault="00D63C03" w:rsidP="00EE353E">
            <w:pPr>
              <w:spacing w:before="20" w:after="20"/>
              <w:jc w:val="left"/>
              <w:rPr>
                <w:rFonts w:eastAsia="Times New Roman"/>
                <w:color w:val="000000"/>
                <w:sz w:val="20"/>
                <w:szCs w:val="20"/>
                <w:lang w:eastAsia="hr-HR"/>
              </w:rPr>
            </w:pPr>
          </w:p>
        </w:tc>
        <w:tc>
          <w:tcPr>
            <w:tcW w:w="1980"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19.</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Ostalo povrće</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60</w:t>
            </w:r>
          </w:p>
        </w:tc>
        <w:tc>
          <w:tcPr>
            <w:tcW w:w="236" w:type="dxa"/>
            <w:tcBorders>
              <w:top w:val="nil"/>
              <w:left w:val="single" w:sz="4" w:space="0" w:color="auto"/>
              <w:bottom w:val="nil"/>
              <w:right w:val="nil"/>
            </w:tcBorders>
            <w:shd w:val="clear" w:color="auto" w:fill="auto"/>
          </w:tcPr>
          <w:p w:rsidR="00D63C03" w:rsidRPr="008739FA" w:rsidRDefault="00D63C03" w:rsidP="00EE353E">
            <w:pPr>
              <w:spacing w:before="20" w:after="20"/>
              <w:jc w:val="center"/>
              <w:rPr>
                <w:rFonts w:eastAsia="Times New Roman"/>
                <w:color w:val="000000"/>
                <w:sz w:val="20"/>
                <w:szCs w:val="20"/>
                <w:lang w:eastAsia="hr-HR"/>
              </w:rPr>
            </w:pPr>
          </w:p>
        </w:tc>
        <w:tc>
          <w:tcPr>
            <w:tcW w:w="711"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c>
          <w:tcPr>
            <w:tcW w:w="1890" w:type="dxa"/>
            <w:tcBorders>
              <w:top w:val="nil"/>
              <w:left w:val="nil"/>
              <w:bottom w:val="nil"/>
              <w:right w:val="nil"/>
            </w:tcBorders>
            <w:vAlign w:val="center"/>
          </w:tcPr>
          <w:p w:rsidR="00D63C03" w:rsidRPr="008739FA" w:rsidRDefault="00D63C03" w:rsidP="00EE353E">
            <w:pPr>
              <w:spacing w:before="20" w:after="20"/>
              <w:jc w:val="left"/>
              <w:rPr>
                <w:rFonts w:eastAsia="Times New Roman"/>
                <w:color w:val="000000"/>
                <w:sz w:val="20"/>
                <w:szCs w:val="20"/>
                <w:lang w:eastAsia="hr-HR"/>
              </w:rPr>
            </w:pPr>
          </w:p>
        </w:tc>
        <w:tc>
          <w:tcPr>
            <w:tcW w:w="1980"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20.</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Ostalo krmno bilje</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60</w:t>
            </w:r>
          </w:p>
        </w:tc>
        <w:tc>
          <w:tcPr>
            <w:tcW w:w="236" w:type="dxa"/>
            <w:tcBorders>
              <w:top w:val="nil"/>
              <w:left w:val="single" w:sz="4" w:space="0" w:color="auto"/>
              <w:bottom w:val="nil"/>
              <w:right w:val="nil"/>
            </w:tcBorders>
            <w:shd w:val="clear" w:color="auto" w:fill="auto"/>
          </w:tcPr>
          <w:p w:rsidR="00D63C03" w:rsidRPr="008739FA" w:rsidRDefault="00D63C03" w:rsidP="00EE353E">
            <w:pPr>
              <w:spacing w:before="20" w:after="20"/>
              <w:jc w:val="center"/>
              <w:rPr>
                <w:rFonts w:eastAsia="Times New Roman"/>
                <w:color w:val="000000"/>
                <w:sz w:val="20"/>
                <w:szCs w:val="20"/>
                <w:lang w:eastAsia="hr-HR"/>
              </w:rPr>
            </w:pPr>
          </w:p>
        </w:tc>
        <w:tc>
          <w:tcPr>
            <w:tcW w:w="711"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c>
          <w:tcPr>
            <w:tcW w:w="1890" w:type="dxa"/>
            <w:tcBorders>
              <w:top w:val="nil"/>
              <w:left w:val="nil"/>
              <w:bottom w:val="nil"/>
              <w:right w:val="nil"/>
            </w:tcBorders>
            <w:vAlign w:val="center"/>
          </w:tcPr>
          <w:p w:rsidR="00D63C03" w:rsidRPr="008739FA" w:rsidRDefault="00D63C03" w:rsidP="00EE353E">
            <w:pPr>
              <w:spacing w:before="20" w:after="20"/>
              <w:jc w:val="left"/>
              <w:rPr>
                <w:rFonts w:eastAsia="Times New Roman"/>
                <w:color w:val="000000"/>
                <w:sz w:val="20"/>
                <w:szCs w:val="20"/>
                <w:lang w:eastAsia="hr-HR"/>
              </w:rPr>
            </w:pPr>
          </w:p>
        </w:tc>
        <w:tc>
          <w:tcPr>
            <w:tcW w:w="1980"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21.</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Soja</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10</w:t>
            </w:r>
          </w:p>
        </w:tc>
        <w:tc>
          <w:tcPr>
            <w:tcW w:w="236" w:type="dxa"/>
            <w:tcBorders>
              <w:top w:val="nil"/>
              <w:left w:val="single" w:sz="4" w:space="0" w:color="auto"/>
              <w:bottom w:val="nil"/>
              <w:right w:val="nil"/>
            </w:tcBorders>
            <w:shd w:val="clear" w:color="auto" w:fill="auto"/>
          </w:tcPr>
          <w:p w:rsidR="00D63C03" w:rsidRPr="008739FA" w:rsidRDefault="00D63C03" w:rsidP="00EE353E">
            <w:pPr>
              <w:spacing w:before="20" w:after="20"/>
              <w:jc w:val="center"/>
              <w:rPr>
                <w:rFonts w:eastAsia="Times New Roman"/>
                <w:color w:val="000000"/>
                <w:sz w:val="20"/>
                <w:szCs w:val="20"/>
                <w:lang w:eastAsia="hr-HR"/>
              </w:rPr>
            </w:pPr>
          </w:p>
        </w:tc>
        <w:tc>
          <w:tcPr>
            <w:tcW w:w="711"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c>
          <w:tcPr>
            <w:tcW w:w="1890" w:type="dxa"/>
            <w:tcBorders>
              <w:top w:val="nil"/>
              <w:left w:val="nil"/>
              <w:bottom w:val="nil"/>
              <w:right w:val="nil"/>
            </w:tcBorders>
            <w:vAlign w:val="center"/>
          </w:tcPr>
          <w:p w:rsidR="00D63C03" w:rsidRPr="008739FA" w:rsidRDefault="00D63C03" w:rsidP="00EE353E">
            <w:pPr>
              <w:spacing w:before="20" w:after="20"/>
              <w:jc w:val="left"/>
              <w:rPr>
                <w:rFonts w:eastAsia="Times New Roman"/>
                <w:color w:val="000000"/>
                <w:sz w:val="20"/>
                <w:szCs w:val="20"/>
                <w:lang w:eastAsia="hr-HR"/>
              </w:rPr>
            </w:pPr>
          </w:p>
        </w:tc>
        <w:tc>
          <w:tcPr>
            <w:tcW w:w="1980"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22.</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Sirak</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40</w:t>
            </w:r>
          </w:p>
        </w:tc>
        <w:tc>
          <w:tcPr>
            <w:tcW w:w="236" w:type="dxa"/>
            <w:tcBorders>
              <w:top w:val="nil"/>
              <w:left w:val="single" w:sz="4" w:space="0" w:color="auto"/>
              <w:bottom w:val="nil"/>
              <w:right w:val="nil"/>
            </w:tcBorders>
            <w:shd w:val="clear" w:color="auto" w:fill="auto"/>
          </w:tcPr>
          <w:p w:rsidR="00D63C03" w:rsidRPr="008739FA" w:rsidRDefault="00D63C03" w:rsidP="00EE353E">
            <w:pPr>
              <w:spacing w:before="20" w:after="20"/>
              <w:jc w:val="center"/>
              <w:rPr>
                <w:rFonts w:eastAsia="Times New Roman"/>
                <w:color w:val="000000"/>
                <w:sz w:val="20"/>
                <w:szCs w:val="20"/>
                <w:lang w:eastAsia="hr-HR"/>
              </w:rPr>
            </w:pPr>
          </w:p>
        </w:tc>
        <w:tc>
          <w:tcPr>
            <w:tcW w:w="711"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c>
          <w:tcPr>
            <w:tcW w:w="1890" w:type="dxa"/>
            <w:tcBorders>
              <w:top w:val="nil"/>
              <w:left w:val="nil"/>
              <w:bottom w:val="nil"/>
              <w:right w:val="nil"/>
            </w:tcBorders>
            <w:vAlign w:val="center"/>
          </w:tcPr>
          <w:p w:rsidR="00D63C03" w:rsidRPr="008739FA" w:rsidRDefault="00D63C03" w:rsidP="00EE353E">
            <w:pPr>
              <w:spacing w:before="20" w:after="20"/>
              <w:jc w:val="left"/>
              <w:rPr>
                <w:rFonts w:eastAsia="Times New Roman"/>
                <w:color w:val="000000"/>
                <w:sz w:val="20"/>
                <w:szCs w:val="20"/>
                <w:lang w:eastAsia="hr-HR"/>
              </w:rPr>
            </w:pPr>
          </w:p>
        </w:tc>
        <w:tc>
          <w:tcPr>
            <w:tcW w:w="1980"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r>
      <w:tr w:rsidR="00D63C03" w:rsidRPr="008739FA" w:rsidTr="005F6F10">
        <w:trPr>
          <w:jc w:val="center"/>
        </w:trPr>
        <w:tc>
          <w:tcPr>
            <w:tcW w:w="725" w:type="dxa"/>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23.</w:t>
            </w:r>
          </w:p>
        </w:tc>
        <w:tc>
          <w:tcPr>
            <w:tcW w:w="1971" w:type="dxa"/>
            <w:shd w:val="clear" w:color="auto" w:fill="auto"/>
            <w:hideMark/>
          </w:tcPr>
          <w:p w:rsidR="00D63C03" w:rsidRPr="008739FA" w:rsidRDefault="00D63C03" w:rsidP="00EE353E">
            <w:pPr>
              <w:spacing w:before="20" w:after="20"/>
              <w:rPr>
                <w:rFonts w:eastAsia="Times New Roman"/>
                <w:color w:val="000000"/>
                <w:sz w:val="20"/>
                <w:szCs w:val="20"/>
                <w:lang w:eastAsia="hr-HR"/>
              </w:rPr>
            </w:pPr>
            <w:r w:rsidRPr="008739FA">
              <w:rPr>
                <w:rFonts w:eastAsia="Times New Roman"/>
                <w:color w:val="000000"/>
                <w:sz w:val="20"/>
                <w:szCs w:val="20"/>
                <w:lang w:eastAsia="hr-HR"/>
              </w:rPr>
              <w:t>Suncokret</w:t>
            </w:r>
          </w:p>
        </w:tc>
        <w:tc>
          <w:tcPr>
            <w:tcW w:w="1595" w:type="dxa"/>
            <w:tcBorders>
              <w:right w:val="single" w:sz="4" w:space="0" w:color="auto"/>
            </w:tcBorders>
            <w:shd w:val="clear" w:color="auto" w:fill="auto"/>
            <w:hideMark/>
          </w:tcPr>
          <w:p w:rsidR="00D63C03" w:rsidRPr="008739FA" w:rsidRDefault="00D63C03" w:rsidP="00EE353E">
            <w:pPr>
              <w:spacing w:before="20" w:after="20"/>
              <w:jc w:val="center"/>
              <w:rPr>
                <w:rFonts w:eastAsia="Times New Roman"/>
                <w:color w:val="000000"/>
                <w:sz w:val="20"/>
                <w:szCs w:val="20"/>
                <w:lang w:eastAsia="hr-HR"/>
              </w:rPr>
            </w:pPr>
            <w:r w:rsidRPr="008739FA">
              <w:rPr>
                <w:rFonts w:eastAsia="Times New Roman"/>
                <w:color w:val="000000"/>
                <w:sz w:val="20"/>
                <w:szCs w:val="20"/>
                <w:lang w:eastAsia="hr-HR"/>
              </w:rPr>
              <w:t>20</w:t>
            </w:r>
          </w:p>
        </w:tc>
        <w:tc>
          <w:tcPr>
            <w:tcW w:w="236" w:type="dxa"/>
            <w:tcBorders>
              <w:top w:val="nil"/>
              <w:left w:val="single" w:sz="4" w:space="0" w:color="auto"/>
              <w:bottom w:val="nil"/>
              <w:right w:val="nil"/>
            </w:tcBorders>
            <w:shd w:val="clear" w:color="auto" w:fill="auto"/>
          </w:tcPr>
          <w:p w:rsidR="00D63C03" w:rsidRPr="008739FA" w:rsidRDefault="00D63C03" w:rsidP="00EE353E">
            <w:pPr>
              <w:spacing w:before="20" w:after="20"/>
              <w:jc w:val="center"/>
              <w:rPr>
                <w:rFonts w:eastAsia="Times New Roman"/>
                <w:color w:val="000000"/>
                <w:sz w:val="20"/>
                <w:szCs w:val="20"/>
                <w:lang w:eastAsia="hr-HR"/>
              </w:rPr>
            </w:pPr>
          </w:p>
        </w:tc>
        <w:tc>
          <w:tcPr>
            <w:tcW w:w="711"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c>
          <w:tcPr>
            <w:tcW w:w="1890" w:type="dxa"/>
            <w:tcBorders>
              <w:top w:val="nil"/>
              <w:left w:val="nil"/>
              <w:bottom w:val="nil"/>
              <w:right w:val="nil"/>
            </w:tcBorders>
            <w:vAlign w:val="center"/>
          </w:tcPr>
          <w:p w:rsidR="00D63C03" w:rsidRPr="008739FA" w:rsidRDefault="00D63C03" w:rsidP="00EE353E">
            <w:pPr>
              <w:spacing w:before="20" w:after="20"/>
              <w:jc w:val="left"/>
              <w:rPr>
                <w:rFonts w:eastAsia="Times New Roman"/>
                <w:color w:val="000000"/>
                <w:sz w:val="20"/>
                <w:szCs w:val="20"/>
                <w:lang w:eastAsia="hr-HR"/>
              </w:rPr>
            </w:pPr>
          </w:p>
        </w:tc>
        <w:tc>
          <w:tcPr>
            <w:tcW w:w="1980" w:type="dxa"/>
            <w:tcBorders>
              <w:top w:val="nil"/>
              <w:left w:val="nil"/>
              <w:bottom w:val="nil"/>
              <w:right w:val="nil"/>
            </w:tcBorders>
          </w:tcPr>
          <w:p w:rsidR="00D63C03" w:rsidRPr="008739FA" w:rsidRDefault="00D63C03" w:rsidP="00EE353E">
            <w:pPr>
              <w:spacing w:before="20" w:after="20"/>
              <w:jc w:val="center"/>
              <w:rPr>
                <w:rFonts w:eastAsia="Times New Roman"/>
                <w:color w:val="000000"/>
                <w:sz w:val="20"/>
                <w:szCs w:val="20"/>
                <w:lang w:eastAsia="hr-HR"/>
              </w:rPr>
            </w:pPr>
          </w:p>
        </w:tc>
      </w:tr>
      <w:tr w:rsidR="00D63C03" w:rsidRPr="008739FA" w:rsidTr="005F6F10">
        <w:trPr>
          <w:jc w:val="center"/>
        </w:trPr>
        <w:tc>
          <w:tcPr>
            <w:tcW w:w="725" w:type="dxa"/>
            <w:shd w:val="clear" w:color="auto" w:fill="D9D9D9" w:themeFill="background1" w:themeFillShade="D9"/>
            <w:hideMark/>
          </w:tcPr>
          <w:p w:rsidR="00D63C03" w:rsidRPr="008739FA" w:rsidRDefault="00D63C03" w:rsidP="00EE353E">
            <w:pPr>
              <w:spacing w:before="20" w:after="20"/>
              <w:jc w:val="center"/>
              <w:rPr>
                <w:rFonts w:eastAsia="Times New Roman"/>
                <w:b/>
                <w:color w:val="000000"/>
                <w:sz w:val="20"/>
                <w:szCs w:val="20"/>
                <w:lang w:eastAsia="hr-HR"/>
              </w:rPr>
            </w:pPr>
            <w:r w:rsidRPr="008739FA">
              <w:rPr>
                <w:rFonts w:eastAsia="Times New Roman"/>
                <w:b/>
                <w:color w:val="000000"/>
                <w:sz w:val="20"/>
                <w:szCs w:val="20"/>
                <w:lang w:eastAsia="hr-HR"/>
              </w:rPr>
              <w:t> </w:t>
            </w:r>
          </w:p>
        </w:tc>
        <w:tc>
          <w:tcPr>
            <w:tcW w:w="1971" w:type="dxa"/>
            <w:shd w:val="clear" w:color="auto" w:fill="D9D9D9" w:themeFill="background1" w:themeFillShade="D9"/>
            <w:hideMark/>
          </w:tcPr>
          <w:p w:rsidR="00D63C03" w:rsidRPr="008739FA" w:rsidRDefault="00D63C03" w:rsidP="00EE353E">
            <w:pPr>
              <w:spacing w:before="20" w:after="20"/>
              <w:rPr>
                <w:rFonts w:eastAsia="Times New Roman"/>
                <w:b/>
                <w:color w:val="000000"/>
                <w:sz w:val="20"/>
                <w:szCs w:val="20"/>
                <w:lang w:eastAsia="hr-HR"/>
              </w:rPr>
            </w:pPr>
            <w:r w:rsidRPr="008739FA">
              <w:rPr>
                <w:rFonts w:eastAsia="Times New Roman"/>
                <w:b/>
                <w:color w:val="000000"/>
                <w:sz w:val="20"/>
                <w:szCs w:val="20"/>
                <w:lang w:eastAsia="hr-HR"/>
              </w:rPr>
              <w:t>UKUPNO</w:t>
            </w:r>
          </w:p>
        </w:tc>
        <w:tc>
          <w:tcPr>
            <w:tcW w:w="1595" w:type="dxa"/>
            <w:tcBorders>
              <w:right w:val="single" w:sz="4" w:space="0" w:color="auto"/>
            </w:tcBorders>
            <w:shd w:val="clear" w:color="auto" w:fill="D9D9D9" w:themeFill="background1" w:themeFillShade="D9"/>
            <w:hideMark/>
          </w:tcPr>
          <w:p w:rsidR="00D63C03" w:rsidRPr="008739FA" w:rsidRDefault="00D63C03" w:rsidP="00EE353E">
            <w:pPr>
              <w:spacing w:before="20" w:after="20"/>
              <w:jc w:val="center"/>
              <w:rPr>
                <w:rFonts w:eastAsia="Times New Roman"/>
                <w:b/>
                <w:color w:val="000000"/>
                <w:sz w:val="20"/>
                <w:szCs w:val="20"/>
                <w:lang w:eastAsia="hr-HR"/>
              </w:rPr>
            </w:pPr>
            <w:r w:rsidRPr="008739FA">
              <w:rPr>
                <w:rFonts w:eastAsia="Times New Roman"/>
                <w:b/>
                <w:color w:val="000000"/>
                <w:sz w:val="20"/>
                <w:szCs w:val="20"/>
                <w:lang w:eastAsia="hr-HR"/>
              </w:rPr>
              <w:t>7660</w:t>
            </w:r>
          </w:p>
        </w:tc>
        <w:tc>
          <w:tcPr>
            <w:tcW w:w="236" w:type="dxa"/>
            <w:tcBorders>
              <w:top w:val="nil"/>
              <w:left w:val="single" w:sz="4" w:space="0" w:color="auto"/>
              <w:bottom w:val="nil"/>
              <w:right w:val="nil"/>
            </w:tcBorders>
            <w:shd w:val="clear" w:color="auto" w:fill="auto"/>
          </w:tcPr>
          <w:p w:rsidR="00D63C03" w:rsidRPr="008739FA" w:rsidRDefault="00D63C03" w:rsidP="00EE353E">
            <w:pPr>
              <w:spacing w:before="20" w:after="20"/>
              <w:jc w:val="center"/>
              <w:rPr>
                <w:rFonts w:eastAsia="Times New Roman"/>
                <w:b/>
                <w:color w:val="000000"/>
                <w:sz w:val="20"/>
                <w:szCs w:val="20"/>
                <w:lang w:eastAsia="hr-HR"/>
              </w:rPr>
            </w:pPr>
          </w:p>
        </w:tc>
        <w:tc>
          <w:tcPr>
            <w:tcW w:w="711" w:type="dxa"/>
            <w:tcBorders>
              <w:top w:val="nil"/>
              <w:left w:val="nil"/>
              <w:bottom w:val="nil"/>
              <w:right w:val="nil"/>
            </w:tcBorders>
            <w:shd w:val="clear" w:color="auto" w:fill="auto"/>
          </w:tcPr>
          <w:p w:rsidR="00D63C03" w:rsidRPr="008739FA" w:rsidRDefault="00D63C03" w:rsidP="00EE353E">
            <w:pPr>
              <w:spacing w:before="20" w:after="20"/>
              <w:jc w:val="center"/>
              <w:rPr>
                <w:rFonts w:eastAsia="Times New Roman"/>
                <w:b/>
                <w:color w:val="000000"/>
                <w:sz w:val="20"/>
                <w:szCs w:val="20"/>
                <w:lang w:eastAsia="hr-HR"/>
              </w:rPr>
            </w:pPr>
          </w:p>
        </w:tc>
        <w:tc>
          <w:tcPr>
            <w:tcW w:w="1890" w:type="dxa"/>
            <w:tcBorders>
              <w:top w:val="nil"/>
              <w:left w:val="nil"/>
              <w:bottom w:val="nil"/>
              <w:right w:val="nil"/>
            </w:tcBorders>
            <w:shd w:val="clear" w:color="auto" w:fill="auto"/>
            <w:vAlign w:val="center"/>
          </w:tcPr>
          <w:p w:rsidR="00D63C03" w:rsidRPr="008739FA" w:rsidRDefault="00D63C03" w:rsidP="00EE353E">
            <w:pPr>
              <w:spacing w:before="20" w:after="20"/>
              <w:jc w:val="left"/>
              <w:rPr>
                <w:rFonts w:eastAsia="Times New Roman"/>
                <w:b/>
                <w:color w:val="000000"/>
                <w:sz w:val="20"/>
                <w:szCs w:val="20"/>
                <w:lang w:eastAsia="hr-HR"/>
              </w:rPr>
            </w:pPr>
          </w:p>
        </w:tc>
        <w:tc>
          <w:tcPr>
            <w:tcW w:w="1980" w:type="dxa"/>
            <w:tcBorders>
              <w:top w:val="nil"/>
              <w:left w:val="nil"/>
              <w:bottom w:val="nil"/>
              <w:right w:val="nil"/>
            </w:tcBorders>
            <w:shd w:val="clear" w:color="auto" w:fill="auto"/>
          </w:tcPr>
          <w:p w:rsidR="00D63C03" w:rsidRPr="008739FA" w:rsidRDefault="00D63C03" w:rsidP="00EE353E">
            <w:pPr>
              <w:spacing w:before="20" w:after="20"/>
              <w:jc w:val="center"/>
              <w:rPr>
                <w:rFonts w:eastAsia="Times New Roman"/>
                <w:b/>
                <w:color w:val="000000"/>
                <w:sz w:val="20"/>
                <w:szCs w:val="20"/>
                <w:lang w:eastAsia="hr-HR"/>
              </w:rPr>
            </w:pPr>
          </w:p>
        </w:tc>
      </w:tr>
    </w:tbl>
    <w:p w:rsidR="00B44416" w:rsidRPr="008739FA" w:rsidRDefault="00BC7C4C" w:rsidP="00AD59CB">
      <w:pPr>
        <w:pStyle w:val="Izvorpodataka"/>
        <w:rPr>
          <w:lang w:bidi="hr-HR"/>
        </w:rPr>
      </w:pPr>
      <w:r w:rsidRPr="008739FA">
        <w:rPr>
          <w:lang w:bidi="hr-HR"/>
        </w:rPr>
        <w:t>Izvor:</w:t>
      </w:r>
      <w:r w:rsidR="001233D2" w:rsidRPr="008739FA">
        <w:rPr>
          <w:lang w:bidi="hr-HR"/>
        </w:rPr>
        <w:t xml:space="preserve"> Služba za poljoprivredu općine Kalesija</w:t>
      </w:r>
    </w:p>
    <w:p w:rsidR="009A0B2C" w:rsidRPr="009F1ABD" w:rsidRDefault="004878BD" w:rsidP="00A01D01">
      <w:pPr>
        <w:rPr>
          <w:lang w:val="hr-HR" w:eastAsia="hr-HR" w:bidi="hr-HR"/>
        </w:rPr>
      </w:pPr>
      <w:r>
        <w:rPr>
          <w:lang w:val="hr-HR" w:eastAsia="hr-HR" w:bidi="hr-HR"/>
        </w:rPr>
        <w:t>Prema analizi situacija u 2016. godini, n</w:t>
      </w:r>
      <w:r w:rsidR="00690EC1">
        <w:rPr>
          <w:lang w:val="hr-HR" w:eastAsia="hr-HR" w:bidi="hr-HR"/>
        </w:rPr>
        <w:t xml:space="preserve">ajveće prepreke za intenzivniju ratarsku proizvodnju </w:t>
      </w:r>
      <w:r w:rsidR="00690EC1" w:rsidRPr="005F5DCD">
        <w:rPr>
          <w:lang w:val="hr-HR" w:eastAsia="hr-HR" w:bidi="hr-HR"/>
        </w:rPr>
        <w:t>i plasman poljoprivrednih proizvoda prema dostignutim standardima poljoprivredne proizvodnje u razvijenim zemljama</w:t>
      </w:r>
      <w:r w:rsidR="00690EC1">
        <w:rPr>
          <w:lang w:val="hr-HR" w:eastAsia="hr-HR" w:bidi="hr-HR"/>
        </w:rPr>
        <w:t xml:space="preserve"> su</w:t>
      </w:r>
      <w:r w:rsidR="00690EC1" w:rsidRPr="005F5DCD">
        <w:rPr>
          <w:lang w:val="hr-HR" w:eastAsia="hr-HR" w:bidi="hr-HR"/>
        </w:rPr>
        <w:t>:</w:t>
      </w:r>
      <w:r w:rsidR="00690EC1">
        <w:rPr>
          <w:lang w:val="hr-HR" w:eastAsia="hr-HR" w:bidi="hr-HR"/>
        </w:rPr>
        <w:t xml:space="preserve"> </w:t>
      </w:r>
      <w:r w:rsidR="00690EC1" w:rsidRPr="00690EC1">
        <w:rPr>
          <w:lang w:val="hr-HR" w:eastAsia="hr-HR" w:bidi="hr-HR"/>
        </w:rPr>
        <w:t>mala primjena sortnih sjemena, zaštitnih sredstava i đubriv</w:t>
      </w:r>
      <w:r w:rsidR="00690EC1">
        <w:rPr>
          <w:lang w:val="hr-HR" w:eastAsia="hr-HR" w:bidi="hr-HR"/>
        </w:rPr>
        <w:t>a po jedinici sjetvene površine, usitnjenost</w:t>
      </w:r>
      <w:r w:rsidR="00690EC1" w:rsidRPr="00690EC1">
        <w:rPr>
          <w:lang w:val="hr-HR" w:eastAsia="hr-HR" w:bidi="hr-HR"/>
        </w:rPr>
        <w:t xml:space="preserve"> parcela,</w:t>
      </w:r>
      <w:r w:rsidR="00690EC1">
        <w:rPr>
          <w:lang w:val="hr-HR" w:eastAsia="hr-HR" w:bidi="hr-HR"/>
        </w:rPr>
        <w:t xml:space="preserve"> te </w:t>
      </w:r>
      <w:r w:rsidR="00690EC1" w:rsidRPr="00690EC1">
        <w:rPr>
          <w:lang w:val="hr-HR" w:eastAsia="hr-HR" w:bidi="hr-HR"/>
        </w:rPr>
        <w:t>nedovoljna mehanizacija i kvalitet opreme (</w:t>
      </w:r>
      <w:r w:rsidR="009A0B2C">
        <w:rPr>
          <w:lang w:val="hr-HR" w:eastAsia="hr-HR" w:bidi="hr-HR"/>
        </w:rPr>
        <w:t>na raspolaganju je</w:t>
      </w:r>
      <w:r w:rsidR="00690EC1" w:rsidRPr="00690EC1">
        <w:rPr>
          <w:lang w:val="hr-HR" w:eastAsia="hr-HR" w:bidi="hr-HR"/>
        </w:rPr>
        <w:t xml:space="preserve"> 1050 </w:t>
      </w:r>
      <w:r w:rsidR="009A0B2C" w:rsidRPr="00690EC1">
        <w:rPr>
          <w:lang w:val="hr-HR" w:eastAsia="hr-HR" w:bidi="hr-HR"/>
        </w:rPr>
        <w:t xml:space="preserve">traktora </w:t>
      </w:r>
      <w:r w:rsidR="009A0B2C">
        <w:rPr>
          <w:lang w:val="hr-HR" w:eastAsia="hr-HR" w:bidi="hr-HR"/>
        </w:rPr>
        <w:t>starosti od 5-</w:t>
      </w:r>
      <w:r w:rsidR="00690EC1" w:rsidRPr="00690EC1">
        <w:rPr>
          <w:lang w:val="hr-HR" w:eastAsia="hr-HR" w:bidi="hr-HR"/>
        </w:rPr>
        <w:t xml:space="preserve">20 godina; </w:t>
      </w:r>
      <w:r w:rsidR="009A0B2C" w:rsidRPr="00690EC1">
        <w:rPr>
          <w:lang w:val="hr-HR" w:eastAsia="hr-HR" w:bidi="hr-HR"/>
        </w:rPr>
        <w:t>12</w:t>
      </w:r>
      <w:r w:rsidR="009A0B2C">
        <w:rPr>
          <w:lang w:val="hr-HR" w:eastAsia="hr-HR" w:bidi="hr-HR"/>
        </w:rPr>
        <w:t xml:space="preserve"> zastarjelih</w:t>
      </w:r>
      <w:r w:rsidR="009A0B2C" w:rsidRPr="00690EC1">
        <w:rPr>
          <w:lang w:val="hr-HR" w:eastAsia="hr-HR" w:bidi="hr-HR"/>
        </w:rPr>
        <w:t xml:space="preserve"> </w:t>
      </w:r>
      <w:r w:rsidR="00690EC1" w:rsidRPr="00690EC1">
        <w:rPr>
          <w:lang w:val="hr-HR" w:eastAsia="hr-HR" w:bidi="hr-HR"/>
        </w:rPr>
        <w:t xml:space="preserve">kombajna, od toga 30% neispravnih; oko 4.000 komada priključnih oruđa, starosti </w:t>
      </w:r>
      <w:r w:rsidR="009A0B2C">
        <w:rPr>
          <w:lang w:val="hr-HR" w:eastAsia="hr-HR" w:bidi="hr-HR"/>
        </w:rPr>
        <w:t>do 20 godina</w:t>
      </w:r>
      <w:r w:rsidR="00690EC1" w:rsidRPr="00690EC1">
        <w:rPr>
          <w:lang w:val="hr-HR" w:eastAsia="hr-HR" w:bidi="hr-HR"/>
        </w:rPr>
        <w:t xml:space="preserve">; nedostaju specijalne pneumatske sijačice za kukuruz, pšenicu i krmne kulture, </w:t>
      </w:r>
      <w:r w:rsidR="009A0B2C">
        <w:rPr>
          <w:lang w:val="hr-HR" w:eastAsia="hr-HR" w:bidi="hr-HR"/>
        </w:rPr>
        <w:t xml:space="preserve">te </w:t>
      </w:r>
      <w:r w:rsidR="009A0B2C" w:rsidRPr="009F1ABD">
        <w:rPr>
          <w:lang w:val="hr-HR" w:eastAsia="hr-HR" w:bidi="hr-HR"/>
        </w:rPr>
        <w:t>druge vrste</w:t>
      </w:r>
      <w:r w:rsidR="00690EC1" w:rsidRPr="009F1ABD">
        <w:rPr>
          <w:lang w:val="hr-HR" w:eastAsia="hr-HR" w:bidi="hr-HR"/>
        </w:rPr>
        <w:t xml:space="preserve"> oruđa za savremenu, jeftiniju i tržno orijentiranu proizvodnju).</w:t>
      </w:r>
      <w:r w:rsidR="004F57F3" w:rsidRPr="009F1ABD">
        <w:rPr>
          <w:lang w:val="hr-HR" w:eastAsia="hr-HR" w:bidi="hr-HR"/>
        </w:rPr>
        <w:t xml:space="preserve"> Prema podacima službe za poljoprivredu ukupna površina po plastenicima</w:t>
      </w:r>
      <w:r w:rsidR="009F1ABD" w:rsidRPr="009F1ABD">
        <w:rPr>
          <w:lang w:val="hr-HR" w:eastAsia="hr-HR" w:bidi="hr-HR"/>
        </w:rPr>
        <w:t xml:space="preserve"> u 2016. g</w:t>
      </w:r>
      <w:r w:rsidR="004F57F3" w:rsidRPr="009F1ABD">
        <w:rPr>
          <w:lang w:val="hr-HR" w:eastAsia="hr-HR" w:bidi="hr-HR"/>
        </w:rPr>
        <w:t xml:space="preserve">odini u općini Kalesija iznosi 5 </w:t>
      </w:r>
      <w:r w:rsidR="009F1ABD" w:rsidRPr="009F1ABD">
        <w:rPr>
          <w:lang w:val="hr-HR" w:eastAsia="hr-HR" w:bidi="hr-HR"/>
        </w:rPr>
        <w:t>ha</w:t>
      </w:r>
      <w:r w:rsidR="004F57F3" w:rsidRPr="009F1ABD">
        <w:rPr>
          <w:lang w:val="hr-HR" w:eastAsia="hr-HR" w:bidi="hr-HR"/>
        </w:rPr>
        <w:t>.</w:t>
      </w:r>
    </w:p>
    <w:p w:rsidR="00DC22A0" w:rsidRPr="00DC22A0" w:rsidRDefault="00DC22A0" w:rsidP="00AD59CB">
      <w:pPr>
        <w:pStyle w:val="Heading4"/>
        <w:rPr>
          <w:lang w:val="hr-HR" w:eastAsia="hr-HR" w:bidi="hr-HR"/>
        </w:rPr>
      </w:pPr>
      <w:bookmarkStart w:id="33" w:name="_Toc500140012"/>
      <w:r w:rsidRPr="009F1ABD">
        <w:rPr>
          <w:lang w:val="hr-HR" w:eastAsia="hr-HR" w:bidi="hr-HR"/>
        </w:rPr>
        <w:t>Poticaji u primarnoj poljoprivrednoj proizvodnji</w:t>
      </w:r>
      <w:bookmarkEnd w:id="33"/>
    </w:p>
    <w:p w:rsidR="00107E19" w:rsidRPr="00E0060B" w:rsidRDefault="00690EC1" w:rsidP="00750FA5">
      <w:pPr>
        <w:widowControl w:val="0"/>
        <w:suppressAutoHyphens/>
        <w:kinsoku w:val="0"/>
        <w:overflowPunct w:val="0"/>
        <w:spacing w:after="40" w:line="263" w:lineRule="exact"/>
        <w:textAlignment w:val="baseline"/>
        <w:rPr>
          <w:rFonts w:eastAsia="Times"/>
          <w:bCs/>
          <w:lang w:val="hr-HR" w:eastAsia="hr-HR" w:bidi="hr-HR"/>
        </w:rPr>
      </w:pPr>
      <w:r w:rsidRPr="005F5DCD">
        <w:rPr>
          <w:rFonts w:eastAsia="Times"/>
          <w:bCs/>
          <w:lang w:val="hr-HR" w:eastAsia="hr-HR" w:bidi="hr-HR"/>
        </w:rPr>
        <w:t>Radi razvoja i unap</w:t>
      </w:r>
      <w:r w:rsidR="00DC22A0">
        <w:rPr>
          <w:rFonts w:eastAsia="Times"/>
          <w:bCs/>
          <w:lang w:val="hr-HR" w:eastAsia="hr-HR" w:bidi="hr-HR"/>
        </w:rPr>
        <w:t xml:space="preserve">ređenja postojeće proizvodnje </w:t>
      </w:r>
      <w:r w:rsidRPr="005F5DCD">
        <w:rPr>
          <w:rFonts w:eastAsia="Times"/>
          <w:bCs/>
          <w:lang w:val="hr-HR" w:eastAsia="hr-HR" w:bidi="hr-HR"/>
        </w:rPr>
        <w:t xml:space="preserve">na području općine u 2016. godini realiziran je </w:t>
      </w:r>
      <w:r w:rsidRPr="005F5DCD">
        <w:rPr>
          <w:rFonts w:eastAsia="Times"/>
          <w:bCs/>
          <w:iCs/>
          <w:lang w:val="hr-HR" w:eastAsia="hr-HR" w:bidi="hr-HR"/>
        </w:rPr>
        <w:t>Pro</w:t>
      </w:r>
      <w:r w:rsidRPr="005F5DCD">
        <w:rPr>
          <w:rFonts w:eastAsia="Times"/>
          <w:bCs/>
          <w:iCs/>
          <w:lang w:val="hr-HR" w:eastAsia="hr-HR" w:bidi="hr-HR"/>
        </w:rPr>
        <w:softHyphen/>
        <w:t xml:space="preserve">gram novčanih poticaja u primarnoj poljoprivrednoj proizvodnji </w:t>
      </w:r>
      <w:r w:rsidRPr="005F5DCD">
        <w:rPr>
          <w:rFonts w:eastAsia="Times"/>
          <w:bCs/>
          <w:lang w:val="hr-HR" w:eastAsia="hr-HR" w:bidi="hr-HR"/>
        </w:rPr>
        <w:t>i</w:t>
      </w:r>
      <w:r>
        <w:rPr>
          <w:rFonts w:eastAsia="Times"/>
          <w:bCs/>
          <w:lang w:val="hr-HR" w:eastAsia="hr-HR" w:bidi="hr-HR"/>
        </w:rPr>
        <w:t xml:space="preserve">zdvajanjem budžetskih sredstava </w:t>
      </w:r>
      <w:r w:rsidRPr="005F5DCD">
        <w:rPr>
          <w:rFonts w:eastAsia="Times"/>
          <w:bCs/>
          <w:lang w:val="hr-HR" w:eastAsia="hr-HR" w:bidi="hr-HR"/>
        </w:rPr>
        <w:t>sa Općinskog,</w:t>
      </w:r>
      <w:r>
        <w:rPr>
          <w:rFonts w:eastAsia="Times"/>
          <w:bCs/>
          <w:lang w:val="hr-HR" w:eastAsia="hr-HR" w:bidi="hr-HR"/>
        </w:rPr>
        <w:t xml:space="preserve"> </w:t>
      </w:r>
      <w:r w:rsidRPr="005F5DCD">
        <w:rPr>
          <w:rFonts w:eastAsia="Times"/>
          <w:bCs/>
          <w:lang w:val="hr-HR" w:eastAsia="hr-HR" w:bidi="hr-HR"/>
        </w:rPr>
        <w:t>Kantonalnog i Federalnog nivoa.</w:t>
      </w:r>
    </w:p>
    <w:p w:rsidR="00FB5EA0" w:rsidRDefault="00DC22A0" w:rsidP="00750FA5">
      <w:pPr>
        <w:spacing w:after="40"/>
        <w:rPr>
          <w:lang w:val="hr-HR" w:eastAsia="hr-HR" w:bidi="hr-HR"/>
        </w:rPr>
      </w:pPr>
      <w:r w:rsidRPr="00DC22A0">
        <w:rPr>
          <w:b/>
          <w:lang w:val="pl-PL" w:eastAsia="hr-HR" w:bidi="hr-HR"/>
        </w:rPr>
        <w:lastRenderedPageBreak/>
        <w:t>Op</w:t>
      </w:r>
      <w:r w:rsidRPr="00DC22A0">
        <w:rPr>
          <w:b/>
          <w:lang w:val="hr-HR" w:eastAsia="hr-HR" w:bidi="hr-HR"/>
        </w:rPr>
        <w:t>ć</w:t>
      </w:r>
      <w:r w:rsidRPr="00DC22A0">
        <w:rPr>
          <w:b/>
          <w:lang w:val="pl-PL" w:eastAsia="hr-HR" w:bidi="hr-HR"/>
        </w:rPr>
        <w:t>ina Kalesija</w:t>
      </w:r>
      <w:r w:rsidRPr="00DC22A0">
        <w:rPr>
          <w:lang w:val="pl-PL" w:eastAsia="hr-HR" w:bidi="hr-HR"/>
        </w:rPr>
        <w:t xml:space="preserve"> </w:t>
      </w:r>
      <w:r w:rsidR="00FB5EA0">
        <w:rPr>
          <w:lang w:val="pl-PL" w:eastAsia="hr-HR" w:bidi="hr-HR"/>
        </w:rPr>
        <w:t xml:space="preserve">je </w:t>
      </w:r>
      <w:r w:rsidRPr="00DC22A0">
        <w:rPr>
          <w:lang w:val="pl-PL" w:eastAsia="hr-HR" w:bidi="hr-HR"/>
        </w:rPr>
        <w:t>iz bud</w:t>
      </w:r>
      <w:r w:rsidRPr="00DC22A0">
        <w:rPr>
          <w:lang w:val="hr-HR" w:eastAsia="hr-HR" w:bidi="hr-HR"/>
        </w:rPr>
        <w:t>ž</w:t>
      </w:r>
      <w:r w:rsidRPr="00DC22A0">
        <w:rPr>
          <w:lang w:val="pl-PL" w:eastAsia="hr-HR" w:bidi="hr-HR"/>
        </w:rPr>
        <w:t>eta za</w:t>
      </w:r>
      <w:r w:rsidRPr="00DC22A0">
        <w:rPr>
          <w:lang w:val="hr-HR" w:eastAsia="hr-HR" w:bidi="hr-HR"/>
        </w:rPr>
        <w:t xml:space="preserve"> 2016. g</w:t>
      </w:r>
      <w:r>
        <w:rPr>
          <w:lang w:val="pl-PL" w:eastAsia="hr-HR" w:bidi="hr-HR"/>
        </w:rPr>
        <w:t>odinu na ime po</w:t>
      </w:r>
      <w:r w:rsidRPr="00DC22A0">
        <w:rPr>
          <w:lang w:val="pl-PL" w:eastAsia="hr-HR" w:bidi="hr-HR"/>
        </w:rPr>
        <w:t xml:space="preserve">ticaja u primarnoj poljoprivrednoj proizvodnji isplatila </w:t>
      </w:r>
      <w:r w:rsidRPr="00DC22A0">
        <w:rPr>
          <w:lang w:val="hr-HR" w:eastAsia="hr-HR" w:bidi="hr-HR"/>
        </w:rPr>
        <w:t>132</w:t>
      </w:r>
      <w:r w:rsidR="00FB5EA0">
        <w:rPr>
          <w:lang w:val="hr-HR" w:eastAsia="hr-HR" w:bidi="hr-HR"/>
        </w:rPr>
        <w:t>.</w:t>
      </w:r>
      <w:r w:rsidRPr="00DC22A0">
        <w:rPr>
          <w:lang w:val="hr-HR" w:eastAsia="hr-HR" w:bidi="hr-HR"/>
        </w:rPr>
        <w:t xml:space="preserve">910,00 </w:t>
      </w:r>
      <w:r w:rsidRPr="00DC22A0">
        <w:rPr>
          <w:lang w:val="pl-PL" w:eastAsia="hr-HR" w:bidi="hr-HR"/>
        </w:rPr>
        <w:t>KM</w:t>
      </w:r>
      <w:r w:rsidR="00FB5EA0">
        <w:rPr>
          <w:lang w:val="pl-PL" w:eastAsia="hr-HR" w:bidi="hr-HR"/>
        </w:rPr>
        <w:t>,</w:t>
      </w:r>
      <w:r w:rsidRPr="00DC22A0">
        <w:rPr>
          <w:lang w:val="pl-PL" w:eastAsia="hr-HR" w:bidi="hr-HR"/>
        </w:rPr>
        <w:t xml:space="preserve"> i to</w:t>
      </w:r>
      <w:r w:rsidRPr="00DC22A0">
        <w:rPr>
          <w:lang w:val="hr-HR" w:eastAsia="hr-HR" w:bidi="hr-HR"/>
        </w:rPr>
        <w:t xml:space="preserve"> 81</w:t>
      </w:r>
      <w:r w:rsidR="00FB5EA0">
        <w:rPr>
          <w:lang w:val="hr-HR" w:eastAsia="hr-HR" w:bidi="hr-HR"/>
        </w:rPr>
        <w:t>.</w:t>
      </w:r>
      <w:r w:rsidRPr="00DC22A0">
        <w:rPr>
          <w:lang w:val="hr-HR" w:eastAsia="hr-HR" w:bidi="hr-HR"/>
        </w:rPr>
        <w:t xml:space="preserve">250,00 </w:t>
      </w:r>
      <w:r w:rsidRPr="00DC22A0">
        <w:rPr>
          <w:lang w:val="pl-PL" w:eastAsia="hr-HR" w:bidi="hr-HR"/>
        </w:rPr>
        <w:t>KM za muzna grla u liniji otkupa mlijeka</w:t>
      </w:r>
      <w:r w:rsidR="00FB5EA0">
        <w:rPr>
          <w:lang w:val="pl-PL" w:eastAsia="hr-HR" w:bidi="hr-HR"/>
        </w:rPr>
        <w:t>;</w:t>
      </w:r>
      <w:r w:rsidRPr="00DC22A0">
        <w:rPr>
          <w:lang w:val="pl-PL" w:eastAsia="hr-HR" w:bidi="hr-HR"/>
        </w:rPr>
        <w:t xml:space="preserve"> </w:t>
      </w:r>
      <w:r w:rsidRPr="00DC22A0">
        <w:rPr>
          <w:lang w:val="hr-HR" w:eastAsia="hr-HR" w:bidi="hr-HR"/>
        </w:rPr>
        <w:t>44</w:t>
      </w:r>
      <w:r w:rsidR="00FB5EA0">
        <w:rPr>
          <w:lang w:val="hr-HR" w:eastAsia="hr-HR" w:bidi="hr-HR"/>
        </w:rPr>
        <w:t>.</w:t>
      </w:r>
      <w:r w:rsidRPr="00DC22A0">
        <w:rPr>
          <w:lang w:val="hr-HR" w:eastAsia="hr-HR" w:bidi="hr-HR"/>
        </w:rPr>
        <w:t xml:space="preserve">100,00 </w:t>
      </w:r>
      <w:r w:rsidRPr="00DC22A0">
        <w:rPr>
          <w:lang w:val="pl-PL" w:eastAsia="hr-HR" w:bidi="hr-HR"/>
        </w:rPr>
        <w:t>KM na ime naknade uginu</w:t>
      </w:r>
      <w:r w:rsidRPr="00DC22A0">
        <w:rPr>
          <w:lang w:val="hr-HR" w:eastAsia="hr-HR" w:bidi="hr-HR"/>
        </w:rPr>
        <w:t>ć</w:t>
      </w:r>
      <w:r w:rsidRPr="00DC22A0">
        <w:rPr>
          <w:lang w:val="pl-PL" w:eastAsia="hr-HR" w:bidi="hr-HR"/>
        </w:rPr>
        <w:t>a stoke i</w:t>
      </w:r>
      <w:r w:rsidRPr="00DC22A0">
        <w:rPr>
          <w:lang w:val="hr-HR" w:eastAsia="hr-HR" w:bidi="hr-HR"/>
        </w:rPr>
        <w:t xml:space="preserve"> 7</w:t>
      </w:r>
      <w:r w:rsidR="00FB5EA0">
        <w:rPr>
          <w:lang w:val="hr-HR" w:eastAsia="hr-HR" w:bidi="hr-HR"/>
        </w:rPr>
        <w:t>.</w:t>
      </w:r>
      <w:r w:rsidRPr="00DC22A0">
        <w:rPr>
          <w:lang w:val="hr-HR" w:eastAsia="hr-HR" w:bidi="hr-HR"/>
        </w:rPr>
        <w:t xml:space="preserve">560,00 </w:t>
      </w:r>
      <w:r w:rsidRPr="00DC22A0">
        <w:rPr>
          <w:lang w:val="pl-PL" w:eastAsia="hr-HR" w:bidi="hr-HR"/>
        </w:rPr>
        <w:t>KM za proizvodnju krastav</w:t>
      </w:r>
      <w:r w:rsidR="002837E2">
        <w:rPr>
          <w:lang w:val="pl-PL" w:eastAsia="hr-HR" w:bidi="hr-HR"/>
        </w:rPr>
        <w:t>a</w:t>
      </w:r>
      <w:r w:rsidRPr="00DC22A0">
        <w:rPr>
          <w:lang w:val="pl-PL" w:eastAsia="hr-HR" w:bidi="hr-HR"/>
        </w:rPr>
        <w:t>ca korni</w:t>
      </w:r>
      <w:r w:rsidRPr="00DC22A0">
        <w:rPr>
          <w:lang w:val="hr-HR" w:eastAsia="hr-HR" w:bidi="hr-HR"/>
        </w:rPr>
        <w:t>š</w:t>
      </w:r>
      <w:r w:rsidRPr="00DC22A0">
        <w:rPr>
          <w:lang w:val="pl-PL" w:eastAsia="hr-HR" w:bidi="hr-HR"/>
        </w:rPr>
        <w:t>ona</w:t>
      </w:r>
      <w:r w:rsidRPr="00DC22A0">
        <w:rPr>
          <w:lang w:val="hr-HR" w:eastAsia="hr-HR" w:bidi="hr-HR"/>
        </w:rPr>
        <w:t>.</w:t>
      </w:r>
    </w:p>
    <w:p w:rsidR="00FB5EA0" w:rsidRDefault="00FB5EA0" w:rsidP="00750FA5">
      <w:pPr>
        <w:spacing w:after="40"/>
        <w:rPr>
          <w:lang w:val="pl-PL" w:eastAsia="hr-HR" w:bidi="hr-HR"/>
        </w:rPr>
      </w:pPr>
      <w:r>
        <w:rPr>
          <w:lang w:val="hr-HR" w:eastAsia="hr-HR" w:bidi="hr-HR"/>
        </w:rPr>
        <w:t>Ukupni o</w:t>
      </w:r>
      <w:r w:rsidRPr="00FB5EA0">
        <w:rPr>
          <w:lang w:val="pl-PL" w:eastAsia="hr-HR" w:bidi="hr-HR"/>
        </w:rPr>
        <w:t xml:space="preserve">stvareni </w:t>
      </w:r>
      <w:r w:rsidRPr="00FB5EA0">
        <w:rPr>
          <w:b/>
          <w:lang w:val="pl-PL" w:eastAsia="hr-HR" w:bidi="hr-HR"/>
        </w:rPr>
        <w:t>Kantonalni poticaji</w:t>
      </w:r>
      <w:r w:rsidRPr="00FB5EA0">
        <w:rPr>
          <w:lang w:val="pl-PL" w:eastAsia="hr-HR" w:bidi="hr-HR"/>
        </w:rPr>
        <w:t xml:space="preserve"> u primarnoj poljoprivrednoj proiz</w:t>
      </w:r>
      <w:r w:rsidR="001233D2">
        <w:rPr>
          <w:lang w:val="pl-PL" w:eastAsia="hr-HR" w:bidi="hr-HR"/>
        </w:rPr>
        <w:t>v</w:t>
      </w:r>
      <w:r w:rsidRPr="00FB5EA0">
        <w:rPr>
          <w:lang w:val="pl-PL" w:eastAsia="hr-HR" w:bidi="hr-HR"/>
        </w:rPr>
        <w:t>odnji za op</w:t>
      </w:r>
      <w:r w:rsidRPr="00FB5EA0">
        <w:rPr>
          <w:lang w:val="hr-HR" w:eastAsia="hr-HR" w:bidi="hr-HR"/>
        </w:rPr>
        <w:t>ć</w:t>
      </w:r>
      <w:r w:rsidRPr="00FB5EA0">
        <w:rPr>
          <w:lang w:val="pl-PL" w:eastAsia="hr-HR" w:bidi="hr-HR"/>
        </w:rPr>
        <w:t>inu Kalesija u</w:t>
      </w:r>
      <w:r w:rsidRPr="00FB5EA0">
        <w:rPr>
          <w:lang w:val="hr-HR" w:eastAsia="hr-HR" w:bidi="hr-HR"/>
        </w:rPr>
        <w:t xml:space="preserve"> 2016. </w:t>
      </w:r>
      <w:r w:rsidRPr="00FB5EA0">
        <w:rPr>
          <w:lang w:val="pl-PL" w:eastAsia="hr-HR" w:bidi="hr-HR"/>
        </w:rPr>
        <w:t xml:space="preserve">godini iznosili su </w:t>
      </w:r>
      <w:r w:rsidRPr="00FB5EA0">
        <w:rPr>
          <w:rFonts w:eastAsia="Times New Roman"/>
          <w:lang w:val="pl-PL" w:eastAsia="hr-HR" w:bidi="hr-HR"/>
        </w:rPr>
        <w:t xml:space="preserve">171.216,89 </w:t>
      </w:r>
      <w:r w:rsidRPr="00FB5EA0">
        <w:rPr>
          <w:lang w:val="pl-PL" w:eastAsia="hr-HR" w:bidi="hr-HR"/>
        </w:rPr>
        <w:t xml:space="preserve">KM. Detaljan pregled vrsta </w:t>
      </w:r>
      <w:r w:rsidRPr="005F6F10">
        <w:rPr>
          <w:lang w:val="pl-PL" w:eastAsia="hr-HR" w:bidi="hr-HR"/>
        </w:rPr>
        <w:t xml:space="preserve">proizvodnje, za koje su dodijeljeni Kantonalni poticaji, prikazan je u </w:t>
      </w:r>
      <w:r w:rsidR="00962023" w:rsidRPr="005F6F10">
        <w:rPr>
          <w:lang w:val="pl-PL" w:eastAsia="hr-HR" w:bidi="hr-HR"/>
        </w:rPr>
        <w:t xml:space="preserve">tabeli </w:t>
      </w:r>
      <w:r w:rsidR="005F6F10" w:rsidRPr="005F6F10">
        <w:rPr>
          <w:lang w:val="pl-PL" w:eastAsia="hr-HR" w:bidi="hr-HR"/>
        </w:rPr>
        <w:t>8</w:t>
      </w:r>
      <w:r w:rsidR="00962023" w:rsidRPr="005F6F10">
        <w:rPr>
          <w:lang w:val="pl-PL" w:eastAsia="hr-HR" w:bidi="hr-HR"/>
        </w:rPr>
        <w:t>.</w:t>
      </w:r>
    </w:p>
    <w:p w:rsidR="00962023" w:rsidRPr="001233D2" w:rsidRDefault="00F96AEB" w:rsidP="00AD59CB">
      <w:pPr>
        <w:pStyle w:val="GrafiTabele"/>
      </w:pPr>
      <w:r>
        <w:t xml:space="preserve">Tabela </w:t>
      </w:r>
      <w:r w:rsidR="005F6F10">
        <w:t>8</w:t>
      </w:r>
      <w:r w:rsidR="00962023" w:rsidRPr="001233D2">
        <w:t xml:space="preserve">: </w:t>
      </w:r>
      <w:r w:rsidR="001233D2" w:rsidRPr="001233D2">
        <w:t>Kantonalni poticaji u primarnoj poljoprivrednoj proizvodnji za općinu Kalesija u</w:t>
      </w:r>
      <w:r w:rsidR="002837E2">
        <w:t xml:space="preserve">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2551"/>
      </w:tblGrid>
      <w:tr w:rsidR="00FB5EA0" w:rsidRPr="002837E2" w:rsidTr="002837E2">
        <w:trPr>
          <w:jc w:val="center"/>
        </w:trPr>
        <w:tc>
          <w:tcPr>
            <w:tcW w:w="4928" w:type="dxa"/>
            <w:shd w:val="clear" w:color="auto" w:fill="D9D9D9" w:themeFill="background1" w:themeFillShade="D9"/>
          </w:tcPr>
          <w:p w:rsidR="00FB5EA0" w:rsidRPr="002837E2" w:rsidRDefault="00FB5EA0" w:rsidP="005F6F10">
            <w:pPr>
              <w:widowControl w:val="0"/>
              <w:suppressAutoHyphens/>
              <w:kinsoku w:val="0"/>
              <w:overflowPunct w:val="0"/>
              <w:spacing w:before="20" w:after="20"/>
              <w:textAlignment w:val="baseline"/>
              <w:rPr>
                <w:rFonts w:eastAsia="Times New Roman"/>
                <w:b/>
                <w:sz w:val="20"/>
                <w:lang w:val="pl-PL" w:eastAsia="hr-HR" w:bidi="hr-HR"/>
              </w:rPr>
            </w:pPr>
            <w:r w:rsidRPr="002837E2">
              <w:rPr>
                <w:rFonts w:eastAsia="Times New Roman"/>
                <w:b/>
                <w:sz w:val="20"/>
                <w:lang w:val="pl-PL" w:eastAsia="hr-HR" w:bidi="hr-HR"/>
              </w:rPr>
              <w:t>Vrsta proizvodnje</w:t>
            </w:r>
          </w:p>
        </w:tc>
        <w:tc>
          <w:tcPr>
            <w:tcW w:w="2551" w:type="dxa"/>
            <w:shd w:val="clear" w:color="auto" w:fill="D9D9D9" w:themeFill="background1" w:themeFillShade="D9"/>
          </w:tcPr>
          <w:p w:rsidR="00FB5EA0" w:rsidRPr="002837E2" w:rsidRDefault="00FB5EA0" w:rsidP="005F6F10">
            <w:pPr>
              <w:widowControl w:val="0"/>
              <w:suppressAutoHyphens/>
              <w:kinsoku w:val="0"/>
              <w:overflowPunct w:val="0"/>
              <w:spacing w:before="20" w:after="20"/>
              <w:jc w:val="center"/>
              <w:textAlignment w:val="baseline"/>
              <w:rPr>
                <w:rFonts w:eastAsia="Times New Roman"/>
                <w:b/>
                <w:sz w:val="20"/>
                <w:lang w:val="pl-PL" w:eastAsia="hr-HR" w:bidi="hr-HR"/>
              </w:rPr>
            </w:pPr>
            <w:r w:rsidRPr="002837E2">
              <w:rPr>
                <w:rFonts w:eastAsia="Times New Roman"/>
                <w:b/>
                <w:sz w:val="20"/>
                <w:lang w:val="pl-PL" w:eastAsia="hr-HR" w:bidi="hr-HR"/>
              </w:rPr>
              <w:t>Novčana podrška (KM)</w:t>
            </w:r>
          </w:p>
        </w:tc>
      </w:tr>
      <w:tr w:rsidR="00FB5EA0" w:rsidRPr="002837E2" w:rsidTr="002837E2">
        <w:trPr>
          <w:jc w:val="center"/>
        </w:trPr>
        <w:tc>
          <w:tcPr>
            <w:tcW w:w="4928" w:type="dxa"/>
            <w:shd w:val="clear" w:color="auto" w:fill="auto"/>
          </w:tcPr>
          <w:p w:rsidR="00FB5EA0" w:rsidRPr="002837E2" w:rsidRDefault="00FB5EA0" w:rsidP="005F6F10">
            <w:pPr>
              <w:widowControl w:val="0"/>
              <w:suppressAutoHyphens/>
              <w:kinsoku w:val="0"/>
              <w:overflowPunct w:val="0"/>
              <w:spacing w:before="20" w:after="20"/>
              <w:textAlignment w:val="baseline"/>
              <w:rPr>
                <w:rFonts w:eastAsia="Times New Roman"/>
                <w:sz w:val="20"/>
                <w:lang w:val="pl-PL" w:eastAsia="hr-HR" w:bidi="hr-HR"/>
              </w:rPr>
            </w:pPr>
            <w:r w:rsidRPr="002837E2">
              <w:rPr>
                <w:rFonts w:eastAsia="Times New Roman"/>
                <w:sz w:val="20"/>
                <w:lang w:val="pl-PL" w:eastAsia="hr-HR" w:bidi="hr-HR"/>
              </w:rPr>
              <w:t>Proizvodnja kornišona za industri.preradu</w:t>
            </w:r>
          </w:p>
        </w:tc>
        <w:tc>
          <w:tcPr>
            <w:tcW w:w="2551" w:type="dxa"/>
            <w:shd w:val="clear" w:color="auto" w:fill="auto"/>
          </w:tcPr>
          <w:p w:rsidR="00FB5EA0" w:rsidRPr="002837E2" w:rsidRDefault="00FB5EA0" w:rsidP="005F6F10">
            <w:pPr>
              <w:widowControl w:val="0"/>
              <w:suppressAutoHyphens/>
              <w:kinsoku w:val="0"/>
              <w:overflowPunct w:val="0"/>
              <w:spacing w:before="20" w:after="20"/>
              <w:jc w:val="right"/>
              <w:textAlignment w:val="baseline"/>
              <w:rPr>
                <w:rFonts w:eastAsia="Times New Roman"/>
                <w:sz w:val="20"/>
                <w:lang w:val="pl-PL" w:eastAsia="hr-HR" w:bidi="hr-HR"/>
              </w:rPr>
            </w:pPr>
            <w:r w:rsidRPr="002837E2">
              <w:rPr>
                <w:rFonts w:eastAsia="Times New Roman"/>
                <w:sz w:val="20"/>
                <w:lang w:val="pl-PL" w:eastAsia="hr-HR" w:bidi="hr-HR"/>
              </w:rPr>
              <w:t>11.575,97</w:t>
            </w:r>
          </w:p>
        </w:tc>
      </w:tr>
      <w:tr w:rsidR="00FB5EA0" w:rsidRPr="002837E2" w:rsidTr="002837E2">
        <w:trPr>
          <w:jc w:val="center"/>
        </w:trPr>
        <w:tc>
          <w:tcPr>
            <w:tcW w:w="4928" w:type="dxa"/>
            <w:shd w:val="clear" w:color="auto" w:fill="auto"/>
          </w:tcPr>
          <w:p w:rsidR="00FB5EA0" w:rsidRPr="002837E2" w:rsidRDefault="00FB5EA0" w:rsidP="005F6F10">
            <w:pPr>
              <w:widowControl w:val="0"/>
              <w:suppressAutoHyphens/>
              <w:kinsoku w:val="0"/>
              <w:overflowPunct w:val="0"/>
              <w:spacing w:before="20" w:after="20"/>
              <w:textAlignment w:val="baseline"/>
              <w:rPr>
                <w:rFonts w:eastAsia="Times New Roman"/>
                <w:sz w:val="20"/>
                <w:lang w:val="pl-PL" w:eastAsia="hr-HR" w:bidi="hr-HR"/>
              </w:rPr>
            </w:pPr>
            <w:r w:rsidRPr="002837E2">
              <w:rPr>
                <w:rFonts w:eastAsia="Times New Roman"/>
                <w:sz w:val="20"/>
                <w:lang w:val="pl-PL" w:eastAsia="hr-HR" w:bidi="hr-HR"/>
              </w:rPr>
              <w:t>Proizvodnja kukuruza</w:t>
            </w:r>
          </w:p>
        </w:tc>
        <w:tc>
          <w:tcPr>
            <w:tcW w:w="2551" w:type="dxa"/>
            <w:shd w:val="clear" w:color="auto" w:fill="auto"/>
          </w:tcPr>
          <w:p w:rsidR="00FB5EA0" w:rsidRPr="002837E2" w:rsidRDefault="00FB5EA0" w:rsidP="005F6F10">
            <w:pPr>
              <w:widowControl w:val="0"/>
              <w:suppressAutoHyphens/>
              <w:kinsoku w:val="0"/>
              <w:overflowPunct w:val="0"/>
              <w:spacing w:before="20" w:after="20"/>
              <w:jc w:val="right"/>
              <w:textAlignment w:val="baseline"/>
              <w:rPr>
                <w:rFonts w:eastAsia="Times New Roman"/>
                <w:sz w:val="20"/>
                <w:lang w:val="pl-PL" w:eastAsia="hr-HR" w:bidi="hr-HR"/>
              </w:rPr>
            </w:pPr>
            <w:r w:rsidRPr="002837E2">
              <w:rPr>
                <w:rFonts w:eastAsia="Times New Roman"/>
                <w:sz w:val="20"/>
                <w:lang w:val="pl-PL" w:eastAsia="hr-HR" w:bidi="hr-HR"/>
              </w:rPr>
              <w:t xml:space="preserve">36.138,00                                                </w:t>
            </w:r>
          </w:p>
        </w:tc>
      </w:tr>
      <w:tr w:rsidR="00FB5EA0" w:rsidRPr="002837E2" w:rsidTr="002837E2">
        <w:trPr>
          <w:jc w:val="center"/>
        </w:trPr>
        <w:tc>
          <w:tcPr>
            <w:tcW w:w="4928" w:type="dxa"/>
            <w:shd w:val="clear" w:color="auto" w:fill="auto"/>
          </w:tcPr>
          <w:p w:rsidR="00FB5EA0" w:rsidRPr="002837E2" w:rsidRDefault="00FB5EA0" w:rsidP="005F6F10">
            <w:pPr>
              <w:widowControl w:val="0"/>
              <w:suppressAutoHyphens/>
              <w:kinsoku w:val="0"/>
              <w:overflowPunct w:val="0"/>
              <w:spacing w:before="20" w:after="20"/>
              <w:textAlignment w:val="baseline"/>
              <w:rPr>
                <w:rFonts w:eastAsia="Times New Roman"/>
                <w:sz w:val="20"/>
                <w:lang w:val="pl-PL" w:eastAsia="hr-HR" w:bidi="hr-HR"/>
              </w:rPr>
            </w:pPr>
            <w:r w:rsidRPr="002837E2">
              <w:rPr>
                <w:rFonts w:eastAsia="Times New Roman"/>
                <w:sz w:val="20"/>
                <w:lang w:val="pl-PL" w:eastAsia="hr-HR" w:bidi="hr-HR"/>
              </w:rPr>
              <w:t>Košnice pčela-uzgoj pčelinjih zajednioca</w:t>
            </w:r>
          </w:p>
        </w:tc>
        <w:tc>
          <w:tcPr>
            <w:tcW w:w="2551" w:type="dxa"/>
            <w:shd w:val="clear" w:color="auto" w:fill="auto"/>
          </w:tcPr>
          <w:p w:rsidR="00FB5EA0" w:rsidRPr="002837E2" w:rsidRDefault="00FB5EA0" w:rsidP="005F6F10">
            <w:pPr>
              <w:widowControl w:val="0"/>
              <w:suppressAutoHyphens/>
              <w:kinsoku w:val="0"/>
              <w:overflowPunct w:val="0"/>
              <w:spacing w:before="20" w:after="20"/>
              <w:jc w:val="right"/>
              <w:textAlignment w:val="baseline"/>
              <w:rPr>
                <w:rFonts w:eastAsia="Times New Roman"/>
                <w:sz w:val="20"/>
                <w:lang w:val="pl-PL" w:eastAsia="hr-HR" w:bidi="hr-HR"/>
              </w:rPr>
            </w:pPr>
            <w:r w:rsidRPr="002837E2">
              <w:rPr>
                <w:rFonts w:eastAsia="Times New Roman"/>
                <w:sz w:val="20"/>
                <w:lang w:val="pl-PL" w:eastAsia="hr-HR" w:bidi="hr-HR"/>
              </w:rPr>
              <w:t xml:space="preserve">114,00                                                                                  </w:t>
            </w:r>
          </w:p>
        </w:tc>
      </w:tr>
      <w:tr w:rsidR="00FB5EA0" w:rsidRPr="002837E2" w:rsidTr="002837E2">
        <w:trPr>
          <w:jc w:val="center"/>
        </w:trPr>
        <w:tc>
          <w:tcPr>
            <w:tcW w:w="4928" w:type="dxa"/>
            <w:shd w:val="clear" w:color="auto" w:fill="auto"/>
          </w:tcPr>
          <w:p w:rsidR="00FB5EA0" w:rsidRPr="002837E2" w:rsidRDefault="00FB5EA0" w:rsidP="005F6F10">
            <w:pPr>
              <w:widowControl w:val="0"/>
              <w:suppressAutoHyphens/>
              <w:kinsoku w:val="0"/>
              <w:overflowPunct w:val="0"/>
              <w:spacing w:before="20" w:after="20"/>
              <w:textAlignment w:val="baseline"/>
              <w:rPr>
                <w:rFonts w:eastAsia="Times New Roman"/>
                <w:sz w:val="20"/>
                <w:lang w:val="pl-PL" w:eastAsia="hr-HR" w:bidi="hr-HR"/>
              </w:rPr>
            </w:pPr>
            <w:r w:rsidRPr="002837E2">
              <w:rPr>
                <w:rFonts w:eastAsia="Times New Roman"/>
                <w:sz w:val="20"/>
                <w:lang w:val="pl-PL" w:eastAsia="hr-HR" w:bidi="hr-HR"/>
              </w:rPr>
              <w:t>Povrće i jagoda u zaštićenom prostoru</w:t>
            </w:r>
          </w:p>
        </w:tc>
        <w:tc>
          <w:tcPr>
            <w:tcW w:w="2551" w:type="dxa"/>
            <w:shd w:val="clear" w:color="auto" w:fill="auto"/>
          </w:tcPr>
          <w:p w:rsidR="00FB5EA0" w:rsidRPr="002837E2" w:rsidRDefault="00FB5EA0" w:rsidP="005F6F10">
            <w:pPr>
              <w:widowControl w:val="0"/>
              <w:suppressAutoHyphens/>
              <w:kinsoku w:val="0"/>
              <w:overflowPunct w:val="0"/>
              <w:spacing w:before="20" w:after="20"/>
              <w:jc w:val="right"/>
              <w:textAlignment w:val="baseline"/>
              <w:rPr>
                <w:rFonts w:eastAsia="Times New Roman"/>
                <w:sz w:val="20"/>
                <w:lang w:val="pl-PL" w:eastAsia="hr-HR" w:bidi="hr-HR"/>
              </w:rPr>
            </w:pPr>
            <w:r w:rsidRPr="002837E2">
              <w:rPr>
                <w:rFonts w:eastAsia="Times New Roman"/>
                <w:sz w:val="20"/>
                <w:lang w:val="pl-PL" w:eastAsia="hr-HR" w:bidi="hr-HR"/>
              </w:rPr>
              <w:t>12.762,00</w:t>
            </w:r>
          </w:p>
        </w:tc>
      </w:tr>
      <w:tr w:rsidR="00FB5EA0" w:rsidRPr="002837E2" w:rsidTr="002837E2">
        <w:trPr>
          <w:jc w:val="center"/>
        </w:trPr>
        <w:tc>
          <w:tcPr>
            <w:tcW w:w="4928" w:type="dxa"/>
            <w:shd w:val="clear" w:color="auto" w:fill="auto"/>
          </w:tcPr>
          <w:p w:rsidR="00FB5EA0" w:rsidRPr="002837E2" w:rsidRDefault="00FB5EA0" w:rsidP="005F6F10">
            <w:pPr>
              <w:widowControl w:val="0"/>
              <w:suppressAutoHyphens/>
              <w:kinsoku w:val="0"/>
              <w:overflowPunct w:val="0"/>
              <w:spacing w:before="20" w:after="20"/>
              <w:textAlignment w:val="baseline"/>
              <w:rPr>
                <w:rFonts w:eastAsia="Times New Roman"/>
                <w:sz w:val="20"/>
                <w:lang w:val="pl-PL" w:eastAsia="hr-HR" w:bidi="hr-HR"/>
              </w:rPr>
            </w:pPr>
            <w:r w:rsidRPr="002837E2">
              <w:rPr>
                <w:rFonts w:eastAsia="Times New Roman"/>
                <w:sz w:val="20"/>
                <w:lang w:val="pl-PL" w:eastAsia="hr-HR" w:bidi="hr-HR"/>
              </w:rPr>
              <w:t>Proizvodnja voća</w:t>
            </w:r>
          </w:p>
        </w:tc>
        <w:tc>
          <w:tcPr>
            <w:tcW w:w="2551" w:type="dxa"/>
            <w:shd w:val="clear" w:color="auto" w:fill="auto"/>
          </w:tcPr>
          <w:p w:rsidR="00FB5EA0" w:rsidRPr="002837E2" w:rsidRDefault="00FB5EA0" w:rsidP="005F6F10">
            <w:pPr>
              <w:widowControl w:val="0"/>
              <w:suppressAutoHyphens/>
              <w:kinsoku w:val="0"/>
              <w:overflowPunct w:val="0"/>
              <w:spacing w:before="20" w:after="20"/>
              <w:jc w:val="right"/>
              <w:textAlignment w:val="baseline"/>
              <w:rPr>
                <w:rFonts w:eastAsia="Times New Roman"/>
                <w:sz w:val="20"/>
                <w:lang w:val="pl-PL" w:eastAsia="hr-HR" w:bidi="hr-HR"/>
              </w:rPr>
            </w:pPr>
            <w:r w:rsidRPr="002837E2">
              <w:rPr>
                <w:rFonts w:eastAsia="Times New Roman"/>
                <w:sz w:val="20"/>
                <w:lang w:val="pl-PL" w:eastAsia="hr-HR" w:bidi="hr-HR"/>
              </w:rPr>
              <w:t>1.058,12</w:t>
            </w:r>
          </w:p>
        </w:tc>
      </w:tr>
      <w:tr w:rsidR="00FB5EA0" w:rsidRPr="002837E2" w:rsidTr="002837E2">
        <w:trPr>
          <w:jc w:val="center"/>
        </w:trPr>
        <w:tc>
          <w:tcPr>
            <w:tcW w:w="4928" w:type="dxa"/>
            <w:shd w:val="clear" w:color="auto" w:fill="auto"/>
          </w:tcPr>
          <w:p w:rsidR="00FB5EA0" w:rsidRPr="002837E2" w:rsidRDefault="00FB5EA0" w:rsidP="005F6F10">
            <w:pPr>
              <w:widowControl w:val="0"/>
              <w:suppressAutoHyphens/>
              <w:kinsoku w:val="0"/>
              <w:overflowPunct w:val="0"/>
              <w:spacing w:before="20" w:after="20"/>
              <w:textAlignment w:val="baseline"/>
              <w:rPr>
                <w:rFonts w:eastAsia="Times New Roman"/>
                <w:sz w:val="20"/>
                <w:lang w:val="pl-PL" w:eastAsia="hr-HR" w:bidi="hr-HR"/>
              </w:rPr>
            </w:pPr>
            <w:r w:rsidRPr="002837E2">
              <w:rPr>
                <w:rFonts w:eastAsia="Times New Roman"/>
                <w:sz w:val="20"/>
                <w:lang w:val="pl-PL" w:eastAsia="hr-HR" w:bidi="hr-HR"/>
              </w:rPr>
              <w:t>Proizvodnja pilećeg mesa</w:t>
            </w:r>
          </w:p>
        </w:tc>
        <w:tc>
          <w:tcPr>
            <w:tcW w:w="2551" w:type="dxa"/>
            <w:shd w:val="clear" w:color="auto" w:fill="auto"/>
          </w:tcPr>
          <w:p w:rsidR="00FB5EA0" w:rsidRPr="002837E2" w:rsidRDefault="00FB5EA0" w:rsidP="005F6F10">
            <w:pPr>
              <w:widowControl w:val="0"/>
              <w:suppressAutoHyphens/>
              <w:kinsoku w:val="0"/>
              <w:overflowPunct w:val="0"/>
              <w:spacing w:before="20" w:after="20"/>
              <w:jc w:val="right"/>
              <w:textAlignment w:val="baseline"/>
              <w:rPr>
                <w:rFonts w:eastAsia="Times New Roman"/>
                <w:sz w:val="20"/>
                <w:lang w:val="pl-PL" w:eastAsia="hr-HR" w:bidi="hr-HR"/>
              </w:rPr>
            </w:pPr>
            <w:r w:rsidRPr="002837E2">
              <w:rPr>
                <w:rFonts w:eastAsia="Times New Roman"/>
                <w:sz w:val="20"/>
                <w:lang w:val="pl-PL" w:eastAsia="hr-HR" w:bidi="hr-HR"/>
              </w:rPr>
              <w:t>58.404,22</w:t>
            </w:r>
          </w:p>
        </w:tc>
      </w:tr>
      <w:tr w:rsidR="00FB5EA0" w:rsidRPr="002837E2" w:rsidTr="002837E2">
        <w:trPr>
          <w:jc w:val="center"/>
        </w:trPr>
        <w:tc>
          <w:tcPr>
            <w:tcW w:w="4928" w:type="dxa"/>
            <w:shd w:val="clear" w:color="auto" w:fill="auto"/>
          </w:tcPr>
          <w:p w:rsidR="00FB5EA0" w:rsidRPr="002837E2" w:rsidRDefault="00FB5EA0" w:rsidP="005F6F10">
            <w:pPr>
              <w:widowControl w:val="0"/>
              <w:suppressAutoHyphens/>
              <w:kinsoku w:val="0"/>
              <w:overflowPunct w:val="0"/>
              <w:spacing w:before="20" w:after="20"/>
              <w:textAlignment w:val="baseline"/>
              <w:rPr>
                <w:rFonts w:eastAsia="Times New Roman"/>
                <w:sz w:val="20"/>
                <w:lang w:val="pl-PL" w:eastAsia="hr-HR" w:bidi="hr-HR"/>
              </w:rPr>
            </w:pPr>
            <w:r w:rsidRPr="002837E2">
              <w:rPr>
                <w:rFonts w:eastAsia="Times New Roman"/>
                <w:sz w:val="20"/>
                <w:lang w:val="pl-PL" w:eastAsia="hr-HR" w:bidi="hr-HR"/>
              </w:rPr>
              <w:t>Vještačko osjemenjavane krava</w:t>
            </w:r>
          </w:p>
        </w:tc>
        <w:tc>
          <w:tcPr>
            <w:tcW w:w="2551" w:type="dxa"/>
            <w:shd w:val="clear" w:color="auto" w:fill="auto"/>
          </w:tcPr>
          <w:p w:rsidR="00FB5EA0" w:rsidRPr="002837E2" w:rsidRDefault="00FB5EA0" w:rsidP="005F6F10">
            <w:pPr>
              <w:widowControl w:val="0"/>
              <w:suppressAutoHyphens/>
              <w:kinsoku w:val="0"/>
              <w:overflowPunct w:val="0"/>
              <w:spacing w:before="20" w:after="20"/>
              <w:jc w:val="right"/>
              <w:textAlignment w:val="baseline"/>
              <w:rPr>
                <w:rFonts w:eastAsia="Times New Roman"/>
                <w:sz w:val="20"/>
                <w:lang w:val="pl-PL" w:eastAsia="hr-HR" w:bidi="hr-HR"/>
              </w:rPr>
            </w:pPr>
            <w:r w:rsidRPr="002837E2">
              <w:rPr>
                <w:rFonts w:eastAsia="Times New Roman"/>
                <w:sz w:val="20"/>
                <w:lang w:val="pl-PL" w:eastAsia="hr-HR" w:bidi="hr-HR"/>
              </w:rPr>
              <w:t>15.610,00</w:t>
            </w:r>
          </w:p>
        </w:tc>
      </w:tr>
      <w:tr w:rsidR="00FB5EA0" w:rsidRPr="002837E2" w:rsidTr="002837E2">
        <w:trPr>
          <w:jc w:val="center"/>
        </w:trPr>
        <w:tc>
          <w:tcPr>
            <w:tcW w:w="4928" w:type="dxa"/>
            <w:shd w:val="clear" w:color="auto" w:fill="auto"/>
          </w:tcPr>
          <w:p w:rsidR="00FB5EA0" w:rsidRPr="002837E2" w:rsidRDefault="00FB5EA0" w:rsidP="005F6F10">
            <w:pPr>
              <w:widowControl w:val="0"/>
              <w:suppressAutoHyphens/>
              <w:kinsoku w:val="0"/>
              <w:overflowPunct w:val="0"/>
              <w:spacing w:before="20" w:after="20"/>
              <w:textAlignment w:val="baseline"/>
              <w:rPr>
                <w:rFonts w:eastAsia="Times New Roman"/>
                <w:sz w:val="20"/>
                <w:lang w:val="pl-PL" w:eastAsia="hr-HR" w:bidi="hr-HR"/>
              </w:rPr>
            </w:pPr>
            <w:r w:rsidRPr="002837E2">
              <w:rPr>
                <w:rFonts w:eastAsia="Times New Roman"/>
                <w:sz w:val="20"/>
                <w:lang w:val="pl-PL" w:eastAsia="hr-HR" w:bidi="hr-HR"/>
              </w:rPr>
              <w:t>Proizvodnja konzumnih jaja</w:t>
            </w:r>
          </w:p>
        </w:tc>
        <w:tc>
          <w:tcPr>
            <w:tcW w:w="2551" w:type="dxa"/>
            <w:shd w:val="clear" w:color="auto" w:fill="auto"/>
          </w:tcPr>
          <w:p w:rsidR="00FB5EA0" w:rsidRPr="002837E2" w:rsidRDefault="00FB5EA0" w:rsidP="005F6F10">
            <w:pPr>
              <w:widowControl w:val="0"/>
              <w:suppressAutoHyphens/>
              <w:kinsoku w:val="0"/>
              <w:overflowPunct w:val="0"/>
              <w:spacing w:before="20" w:after="20"/>
              <w:jc w:val="right"/>
              <w:textAlignment w:val="baseline"/>
              <w:rPr>
                <w:rFonts w:eastAsia="Times New Roman"/>
                <w:sz w:val="20"/>
                <w:lang w:val="pl-PL" w:eastAsia="hr-HR" w:bidi="hr-HR"/>
              </w:rPr>
            </w:pPr>
            <w:r w:rsidRPr="002837E2">
              <w:rPr>
                <w:rFonts w:eastAsia="Times New Roman"/>
                <w:sz w:val="20"/>
                <w:lang w:val="pl-PL" w:eastAsia="hr-HR" w:bidi="hr-HR"/>
              </w:rPr>
              <w:t>5.250,00</w:t>
            </w:r>
          </w:p>
        </w:tc>
      </w:tr>
      <w:tr w:rsidR="00FB5EA0" w:rsidRPr="002837E2" w:rsidTr="002837E2">
        <w:trPr>
          <w:jc w:val="center"/>
        </w:trPr>
        <w:tc>
          <w:tcPr>
            <w:tcW w:w="4928" w:type="dxa"/>
            <w:shd w:val="clear" w:color="auto" w:fill="auto"/>
          </w:tcPr>
          <w:p w:rsidR="00FB5EA0" w:rsidRPr="002837E2" w:rsidRDefault="00FB5EA0" w:rsidP="005F6F10">
            <w:pPr>
              <w:widowControl w:val="0"/>
              <w:suppressAutoHyphens/>
              <w:kinsoku w:val="0"/>
              <w:overflowPunct w:val="0"/>
              <w:spacing w:before="20" w:after="20"/>
              <w:textAlignment w:val="baseline"/>
              <w:rPr>
                <w:rFonts w:eastAsia="Times New Roman"/>
                <w:sz w:val="20"/>
                <w:lang w:val="pl-PL" w:eastAsia="hr-HR" w:bidi="hr-HR"/>
              </w:rPr>
            </w:pPr>
            <w:r w:rsidRPr="002837E2">
              <w:rPr>
                <w:rFonts w:eastAsia="Times New Roman"/>
                <w:sz w:val="20"/>
                <w:lang w:val="pl-PL" w:eastAsia="hr-HR" w:bidi="hr-HR"/>
              </w:rPr>
              <w:t>Nabavka mehanizacije i opreme u animalnoj i biljnoj proizvodnji</w:t>
            </w:r>
          </w:p>
        </w:tc>
        <w:tc>
          <w:tcPr>
            <w:tcW w:w="2551" w:type="dxa"/>
            <w:shd w:val="clear" w:color="auto" w:fill="auto"/>
          </w:tcPr>
          <w:p w:rsidR="00FB5EA0" w:rsidRPr="002837E2" w:rsidRDefault="00FB5EA0" w:rsidP="005F6F10">
            <w:pPr>
              <w:widowControl w:val="0"/>
              <w:suppressAutoHyphens/>
              <w:kinsoku w:val="0"/>
              <w:overflowPunct w:val="0"/>
              <w:spacing w:before="20" w:after="20"/>
              <w:jc w:val="right"/>
              <w:textAlignment w:val="baseline"/>
              <w:rPr>
                <w:rFonts w:eastAsia="Times New Roman"/>
                <w:sz w:val="20"/>
                <w:lang w:val="pl-PL" w:eastAsia="hr-HR" w:bidi="hr-HR"/>
              </w:rPr>
            </w:pPr>
            <w:r w:rsidRPr="002837E2">
              <w:rPr>
                <w:rFonts w:eastAsia="Times New Roman"/>
                <w:sz w:val="20"/>
                <w:lang w:val="pl-PL" w:eastAsia="hr-HR" w:bidi="hr-HR"/>
              </w:rPr>
              <w:t xml:space="preserve">23.804,58                                               </w:t>
            </w:r>
          </w:p>
        </w:tc>
      </w:tr>
      <w:tr w:rsidR="00FB5EA0" w:rsidRPr="002837E2" w:rsidTr="002837E2">
        <w:trPr>
          <w:jc w:val="center"/>
        </w:trPr>
        <w:tc>
          <w:tcPr>
            <w:tcW w:w="4928" w:type="dxa"/>
            <w:shd w:val="clear" w:color="auto" w:fill="auto"/>
          </w:tcPr>
          <w:p w:rsidR="00FB5EA0" w:rsidRPr="002837E2" w:rsidRDefault="00FB5EA0" w:rsidP="005F6F10">
            <w:pPr>
              <w:widowControl w:val="0"/>
              <w:suppressAutoHyphens/>
              <w:kinsoku w:val="0"/>
              <w:overflowPunct w:val="0"/>
              <w:spacing w:before="20" w:after="20"/>
              <w:textAlignment w:val="baseline"/>
              <w:rPr>
                <w:rFonts w:eastAsia="Times New Roman"/>
                <w:sz w:val="20"/>
                <w:lang w:val="pl-PL" w:eastAsia="hr-HR" w:bidi="hr-HR"/>
              </w:rPr>
            </w:pPr>
            <w:r w:rsidRPr="002837E2">
              <w:rPr>
                <w:rFonts w:eastAsia="Times New Roman"/>
                <w:sz w:val="20"/>
                <w:lang w:val="pl-PL" w:eastAsia="hr-HR" w:bidi="hr-HR"/>
              </w:rPr>
              <w:t>Muzne krave u liniji otkupa mlijeka</w:t>
            </w:r>
          </w:p>
        </w:tc>
        <w:tc>
          <w:tcPr>
            <w:tcW w:w="2551" w:type="dxa"/>
            <w:shd w:val="clear" w:color="auto" w:fill="auto"/>
          </w:tcPr>
          <w:p w:rsidR="00FB5EA0" w:rsidRPr="002837E2" w:rsidRDefault="00FB5EA0" w:rsidP="005F6F10">
            <w:pPr>
              <w:widowControl w:val="0"/>
              <w:suppressAutoHyphens/>
              <w:kinsoku w:val="0"/>
              <w:overflowPunct w:val="0"/>
              <w:spacing w:before="20" w:after="20"/>
              <w:jc w:val="right"/>
              <w:textAlignment w:val="baseline"/>
              <w:rPr>
                <w:rFonts w:eastAsia="Times New Roman"/>
                <w:sz w:val="20"/>
                <w:lang w:val="pl-PL" w:eastAsia="hr-HR" w:bidi="hr-HR"/>
              </w:rPr>
            </w:pPr>
            <w:r w:rsidRPr="002837E2">
              <w:rPr>
                <w:rFonts w:eastAsia="Times New Roman"/>
                <w:sz w:val="20"/>
                <w:lang w:val="pl-PL" w:eastAsia="hr-HR" w:bidi="hr-HR"/>
              </w:rPr>
              <w:t>6.500,00</w:t>
            </w:r>
          </w:p>
        </w:tc>
      </w:tr>
      <w:tr w:rsidR="00FB5EA0" w:rsidRPr="002837E2" w:rsidTr="002837E2">
        <w:trPr>
          <w:jc w:val="center"/>
        </w:trPr>
        <w:tc>
          <w:tcPr>
            <w:tcW w:w="4928" w:type="dxa"/>
            <w:shd w:val="clear" w:color="auto" w:fill="D9D9D9" w:themeFill="background1" w:themeFillShade="D9"/>
          </w:tcPr>
          <w:p w:rsidR="00FB5EA0" w:rsidRPr="002837E2" w:rsidRDefault="00FB5EA0" w:rsidP="005F6F10">
            <w:pPr>
              <w:widowControl w:val="0"/>
              <w:suppressAutoHyphens/>
              <w:kinsoku w:val="0"/>
              <w:overflowPunct w:val="0"/>
              <w:spacing w:before="20" w:after="20"/>
              <w:textAlignment w:val="baseline"/>
              <w:rPr>
                <w:rFonts w:eastAsia="Times New Roman"/>
                <w:b/>
                <w:sz w:val="20"/>
                <w:lang w:val="pl-PL" w:eastAsia="hr-HR" w:bidi="hr-HR"/>
              </w:rPr>
            </w:pPr>
            <w:r w:rsidRPr="002837E2">
              <w:rPr>
                <w:rFonts w:eastAsia="Times New Roman"/>
                <w:b/>
                <w:sz w:val="20"/>
                <w:lang w:val="pl-PL" w:eastAsia="hr-HR" w:bidi="hr-HR"/>
              </w:rPr>
              <w:t>UKUPNO</w:t>
            </w:r>
          </w:p>
        </w:tc>
        <w:tc>
          <w:tcPr>
            <w:tcW w:w="2551" w:type="dxa"/>
            <w:shd w:val="clear" w:color="auto" w:fill="D9D9D9" w:themeFill="background1" w:themeFillShade="D9"/>
          </w:tcPr>
          <w:p w:rsidR="00FB5EA0" w:rsidRPr="002837E2" w:rsidRDefault="00FB5EA0" w:rsidP="005F6F10">
            <w:pPr>
              <w:widowControl w:val="0"/>
              <w:suppressAutoHyphens/>
              <w:kinsoku w:val="0"/>
              <w:overflowPunct w:val="0"/>
              <w:spacing w:before="20" w:after="20"/>
              <w:jc w:val="right"/>
              <w:textAlignment w:val="baseline"/>
              <w:rPr>
                <w:rFonts w:eastAsia="Times New Roman"/>
                <w:b/>
                <w:sz w:val="20"/>
                <w:lang w:val="pl-PL" w:eastAsia="hr-HR" w:bidi="hr-HR"/>
              </w:rPr>
            </w:pPr>
            <w:r w:rsidRPr="002837E2">
              <w:rPr>
                <w:rFonts w:eastAsia="Times New Roman"/>
                <w:b/>
                <w:sz w:val="20"/>
                <w:lang w:val="pl-PL" w:eastAsia="hr-HR" w:bidi="hr-HR"/>
              </w:rPr>
              <w:t>171.216,89</w:t>
            </w:r>
          </w:p>
        </w:tc>
      </w:tr>
    </w:tbl>
    <w:p w:rsidR="00FB5EA0" w:rsidRPr="002837E2" w:rsidRDefault="00BC7C4C" w:rsidP="00AD59CB">
      <w:pPr>
        <w:pStyle w:val="Izvorpodataka"/>
        <w:rPr>
          <w:lang w:bidi="hr-HR"/>
        </w:rPr>
      </w:pPr>
      <w:r w:rsidRPr="002837E2">
        <w:rPr>
          <w:szCs w:val="24"/>
          <w:lang w:val="pl-PL" w:bidi="hr-HR"/>
        </w:rPr>
        <w:t>Izvor:</w:t>
      </w:r>
      <w:r w:rsidR="001233D2" w:rsidRPr="002837E2">
        <w:rPr>
          <w:lang w:val="pl-PL" w:bidi="hr-HR"/>
        </w:rPr>
        <w:t xml:space="preserve"> </w:t>
      </w:r>
      <w:r w:rsidR="001233D2" w:rsidRPr="002837E2">
        <w:rPr>
          <w:lang w:bidi="hr-HR"/>
        </w:rPr>
        <w:t>Služba za poljoprivredu općine Kalesija</w:t>
      </w:r>
    </w:p>
    <w:p w:rsidR="00FB5EA0" w:rsidRDefault="00FB5EA0" w:rsidP="00AD59CB">
      <w:pPr>
        <w:rPr>
          <w:lang w:val="pl-PL" w:eastAsia="hr-HR" w:bidi="hr-HR"/>
        </w:rPr>
      </w:pPr>
      <w:r>
        <w:rPr>
          <w:lang w:val="hr-HR" w:eastAsia="hr-HR" w:bidi="hr-HR"/>
        </w:rPr>
        <w:t>Ukupni o</w:t>
      </w:r>
      <w:r w:rsidR="00DC22A0" w:rsidRPr="00FB5EA0">
        <w:rPr>
          <w:lang w:val="pl-PL" w:eastAsia="hr-HR" w:bidi="hr-HR"/>
        </w:rPr>
        <w:t xml:space="preserve">stvareni </w:t>
      </w:r>
      <w:r w:rsidR="00DC22A0" w:rsidRPr="00AF4ED6">
        <w:rPr>
          <w:b/>
          <w:lang w:val="pl-PL" w:eastAsia="hr-HR" w:bidi="hr-HR"/>
        </w:rPr>
        <w:t>Federalni</w:t>
      </w:r>
      <w:r w:rsidRPr="00AF4ED6">
        <w:rPr>
          <w:b/>
          <w:lang w:val="pl-PL" w:eastAsia="hr-HR" w:bidi="hr-HR"/>
        </w:rPr>
        <w:t xml:space="preserve"> po</w:t>
      </w:r>
      <w:r w:rsidR="00DC22A0" w:rsidRPr="00AF4ED6">
        <w:rPr>
          <w:b/>
          <w:lang w:val="pl-PL" w:eastAsia="hr-HR" w:bidi="hr-HR"/>
        </w:rPr>
        <w:t>ticaj</w:t>
      </w:r>
      <w:r w:rsidRPr="00AF4ED6">
        <w:rPr>
          <w:b/>
          <w:lang w:val="pl-PL" w:eastAsia="hr-HR" w:bidi="hr-HR"/>
        </w:rPr>
        <w:t>i</w:t>
      </w:r>
      <w:r w:rsidR="00DC22A0" w:rsidRPr="00FB5EA0">
        <w:rPr>
          <w:lang w:val="pl-PL" w:eastAsia="hr-HR" w:bidi="hr-HR"/>
        </w:rPr>
        <w:t xml:space="preserve"> u primarnoj poljoprivrednoj proizodnji za op</w:t>
      </w:r>
      <w:r w:rsidR="00DC22A0" w:rsidRPr="00FB5EA0">
        <w:rPr>
          <w:lang w:val="hr-HR" w:eastAsia="hr-HR" w:bidi="hr-HR"/>
        </w:rPr>
        <w:t>ć</w:t>
      </w:r>
      <w:r w:rsidR="00DC22A0" w:rsidRPr="00FB5EA0">
        <w:rPr>
          <w:lang w:val="pl-PL" w:eastAsia="hr-HR" w:bidi="hr-HR"/>
        </w:rPr>
        <w:t>inu Kalesija u</w:t>
      </w:r>
      <w:r w:rsidR="00DC22A0" w:rsidRPr="00FB5EA0">
        <w:rPr>
          <w:lang w:val="hr-HR" w:eastAsia="hr-HR" w:bidi="hr-HR"/>
        </w:rPr>
        <w:t xml:space="preserve"> 2016. </w:t>
      </w:r>
      <w:r>
        <w:rPr>
          <w:lang w:val="pl-PL" w:eastAsia="hr-HR" w:bidi="hr-HR"/>
        </w:rPr>
        <w:t>g</w:t>
      </w:r>
      <w:r w:rsidR="00DC22A0" w:rsidRPr="00FB5EA0">
        <w:rPr>
          <w:lang w:val="pl-PL" w:eastAsia="hr-HR" w:bidi="hr-HR"/>
        </w:rPr>
        <w:t>odini</w:t>
      </w:r>
      <w:r>
        <w:rPr>
          <w:lang w:val="pl-PL" w:eastAsia="hr-HR" w:bidi="hr-HR"/>
        </w:rPr>
        <w:t xml:space="preserve"> iznosili su </w:t>
      </w:r>
      <w:r>
        <w:rPr>
          <w:b/>
          <w:lang w:val="pl-PL" w:eastAsia="hr-HR" w:bidi="hr-HR"/>
        </w:rPr>
        <w:t>4.</w:t>
      </w:r>
      <w:r w:rsidRPr="00FB5EA0">
        <w:rPr>
          <w:b/>
          <w:lang w:val="pl-PL" w:eastAsia="hr-HR" w:bidi="hr-HR"/>
        </w:rPr>
        <w:t>635</w:t>
      </w:r>
      <w:r>
        <w:rPr>
          <w:b/>
          <w:lang w:val="pl-PL" w:eastAsia="hr-HR" w:bidi="hr-HR"/>
        </w:rPr>
        <w:t>.</w:t>
      </w:r>
      <w:r w:rsidRPr="00FB5EA0">
        <w:rPr>
          <w:b/>
          <w:lang w:val="pl-PL" w:eastAsia="hr-HR" w:bidi="hr-HR"/>
        </w:rPr>
        <w:t>372,72</w:t>
      </w:r>
      <w:r>
        <w:rPr>
          <w:lang w:val="pl-PL" w:eastAsia="hr-HR" w:bidi="hr-HR"/>
        </w:rPr>
        <w:t xml:space="preserve"> KM. Detaljan pregled vrsta proizvodnje, za koje su dodijeljeni poticaji, prikazan je u </w:t>
      </w:r>
      <w:r w:rsidR="003F430A">
        <w:rPr>
          <w:lang w:val="pl-PL" w:eastAsia="hr-HR" w:bidi="hr-HR"/>
        </w:rPr>
        <w:t xml:space="preserve">tabeli </w:t>
      </w:r>
      <w:r w:rsidR="005F6F10">
        <w:rPr>
          <w:lang w:val="pl-PL" w:eastAsia="hr-HR" w:bidi="hr-HR"/>
        </w:rPr>
        <w:t>9</w:t>
      </w:r>
      <w:r w:rsidR="003F430A">
        <w:rPr>
          <w:lang w:val="pl-PL" w:eastAsia="hr-HR" w:bidi="hr-HR"/>
        </w:rPr>
        <w:t>.</w:t>
      </w:r>
    </w:p>
    <w:p w:rsidR="003F430A" w:rsidRPr="001233D2" w:rsidRDefault="00173CC4" w:rsidP="00AD59CB">
      <w:pPr>
        <w:pStyle w:val="GrafiTabele"/>
      </w:pPr>
      <w:r>
        <w:t xml:space="preserve">Tabela </w:t>
      </w:r>
      <w:r w:rsidR="005F6F10">
        <w:t>9</w:t>
      </w:r>
      <w:r w:rsidR="003F430A" w:rsidRPr="001233D2">
        <w:t>:</w:t>
      </w:r>
      <w:r w:rsidR="001233D2" w:rsidRPr="001233D2">
        <w:t xml:space="preserve"> Federalni poticaji u primarnoj poljoprivrednoj proizodnji za općinu Kalesija u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2551"/>
      </w:tblGrid>
      <w:tr w:rsidR="00DC22A0" w:rsidRPr="002837E2" w:rsidTr="00E0060B">
        <w:trPr>
          <w:jc w:val="center"/>
        </w:trPr>
        <w:tc>
          <w:tcPr>
            <w:tcW w:w="4928" w:type="dxa"/>
            <w:shd w:val="clear" w:color="auto" w:fill="D9D9D9" w:themeFill="background1" w:themeFillShade="D9"/>
          </w:tcPr>
          <w:p w:rsidR="00DC22A0" w:rsidRPr="002837E2" w:rsidRDefault="00DC22A0" w:rsidP="005F6F10">
            <w:pPr>
              <w:widowControl w:val="0"/>
              <w:suppressAutoHyphens/>
              <w:kinsoku w:val="0"/>
              <w:overflowPunct w:val="0"/>
              <w:spacing w:before="20" w:after="20"/>
              <w:textAlignment w:val="baseline"/>
              <w:rPr>
                <w:rFonts w:eastAsia="Times New Roman"/>
                <w:b/>
                <w:sz w:val="20"/>
                <w:lang w:val="pl-PL" w:eastAsia="hr-HR" w:bidi="hr-HR"/>
              </w:rPr>
            </w:pPr>
            <w:r w:rsidRPr="002837E2">
              <w:rPr>
                <w:rFonts w:eastAsia="Times New Roman"/>
                <w:b/>
                <w:sz w:val="20"/>
                <w:lang w:val="pl-PL" w:eastAsia="hr-HR" w:bidi="hr-HR"/>
              </w:rPr>
              <w:t>Vrsta proizvodnje</w:t>
            </w:r>
          </w:p>
        </w:tc>
        <w:tc>
          <w:tcPr>
            <w:tcW w:w="2551" w:type="dxa"/>
            <w:shd w:val="clear" w:color="auto" w:fill="D9D9D9" w:themeFill="background1" w:themeFillShade="D9"/>
          </w:tcPr>
          <w:p w:rsidR="00DC22A0" w:rsidRPr="002837E2" w:rsidRDefault="00FB5EA0" w:rsidP="005F6F10">
            <w:pPr>
              <w:widowControl w:val="0"/>
              <w:suppressAutoHyphens/>
              <w:kinsoku w:val="0"/>
              <w:overflowPunct w:val="0"/>
              <w:spacing w:before="20" w:after="20"/>
              <w:textAlignment w:val="baseline"/>
              <w:rPr>
                <w:rFonts w:eastAsia="Times New Roman"/>
                <w:b/>
                <w:sz w:val="20"/>
                <w:lang w:val="pl-PL" w:eastAsia="hr-HR" w:bidi="hr-HR"/>
              </w:rPr>
            </w:pPr>
            <w:r w:rsidRPr="002837E2">
              <w:rPr>
                <w:rFonts w:eastAsia="Times New Roman"/>
                <w:b/>
                <w:sz w:val="20"/>
                <w:lang w:val="pl-PL" w:eastAsia="hr-HR" w:bidi="hr-HR"/>
              </w:rPr>
              <w:t>Novčana podrška (</w:t>
            </w:r>
            <w:r w:rsidR="00DC22A0" w:rsidRPr="002837E2">
              <w:rPr>
                <w:rFonts w:eastAsia="Times New Roman"/>
                <w:b/>
                <w:sz w:val="20"/>
                <w:lang w:val="pl-PL" w:eastAsia="hr-HR" w:bidi="hr-HR"/>
              </w:rPr>
              <w:t>KM</w:t>
            </w:r>
            <w:r w:rsidRPr="002837E2">
              <w:rPr>
                <w:rFonts w:eastAsia="Times New Roman"/>
                <w:b/>
                <w:sz w:val="20"/>
                <w:lang w:val="pl-PL" w:eastAsia="hr-HR" w:bidi="hr-HR"/>
              </w:rPr>
              <w:t>)</w:t>
            </w:r>
          </w:p>
        </w:tc>
      </w:tr>
      <w:tr w:rsidR="00DC22A0" w:rsidRPr="002837E2" w:rsidTr="00E0060B">
        <w:trPr>
          <w:jc w:val="center"/>
        </w:trPr>
        <w:tc>
          <w:tcPr>
            <w:tcW w:w="4928" w:type="dxa"/>
            <w:shd w:val="clear" w:color="auto" w:fill="auto"/>
          </w:tcPr>
          <w:p w:rsidR="00DC22A0" w:rsidRPr="002837E2" w:rsidRDefault="00DC22A0" w:rsidP="005F6F10">
            <w:pPr>
              <w:pStyle w:val="TextinTables"/>
            </w:pPr>
            <w:r w:rsidRPr="002837E2">
              <w:t>Svježe kravlje mlijeko</w:t>
            </w:r>
          </w:p>
        </w:tc>
        <w:tc>
          <w:tcPr>
            <w:tcW w:w="2551" w:type="dxa"/>
            <w:shd w:val="clear" w:color="auto" w:fill="auto"/>
          </w:tcPr>
          <w:p w:rsidR="00DC22A0" w:rsidRPr="002837E2" w:rsidRDefault="00DC22A0" w:rsidP="005F6F10">
            <w:pPr>
              <w:pStyle w:val="TextinTables"/>
              <w:jc w:val="right"/>
            </w:pPr>
            <w:r w:rsidRPr="002837E2">
              <w:t xml:space="preserve">     3</w:t>
            </w:r>
            <w:r w:rsidR="00FB5EA0" w:rsidRPr="002837E2">
              <w:t>.</w:t>
            </w:r>
            <w:r w:rsidRPr="002837E2">
              <w:t>162</w:t>
            </w:r>
            <w:r w:rsidR="00FB5EA0" w:rsidRPr="002837E2">
              <w:t>.</w:t>
            </w:r>
            <w:r w:rsidRPr="002837E2">
              <w:t>359,20</w:t>
            </w:r>
          </w:p>
        </w:tc>
      </w:tr>
      <w:tr w:rsidR="00DC22A0" w:rsidRPr="002837E2" w:rsidTr="00E0060B">
        <w:trPr>
          <w:jc w:val="center"/>
        </w:trPr>
        <w:tc>
          <w:tcPr>
            <w:tcW w:w="4928" w:type="dxa"/>
            <w:shd w:val="clear" w:color="auto" w:fill="auto"/>
          </w:tcPr>
          <w:p w:rsidR="00DC22A0" w:rsidRPr="002837E2" w:rsidRDefault="00DC22A0" w:rsidP="005F6F10">
            <w:pPr>
              <w:widowControl w:val="0"/>
              <w:suppressAutoHyphens/>
              <w:kinsoku w:val="0"/>
              <w:overflowPunct w:val="0"/>
              <w:spacing w:before="20" w:after="20"/>
              <w:textAlignment w:val="baseline"/>
              <w:rPr>
                <w:rFonts w:eastAsia="Times New Roman"/>
                <w:sz w:val="20"/>
                <w:lang w:val="pl-PL" w:eastAsia="hr-HR" w:bidi="hr-HR"/>
              </w:rPr>
            </w:pPr>
            <w:r w:rsidRPr="002837E2">
              <w:rPr>
                <w:rFonts w:eastAsia="Times New Roman"/>
                <w:sz w:val="20"/>
                <w:lang w:val="pl-PL" w:eastAsia="hr-HR" w:bidi="hr-HR"/>
              </w:rPr>
              <w:t>Uzgoj priplodnih junica</w:t>
            </w:r>
          </w:p>
        </w:tc>
        <w:tc>
          <w:tcPr>
            <w:tcW w:w="2551" w:type="dxa"/>
            <w:shd w:val="clear" w:color="auto" w:fill="auto"/>
          </w:tcPr>
          <w:p w:rsidR="00DC22A0" w:rsidRPr="002837E2" w:rsidRDefault="00DC22A0" w:rsidP="005F6F10">
            <w:pPr>
              <w:widowControl w:val="0"/>
              <w:suppressAutoHyphens/>
              <w:kinsoku w:val="0"/>
              <w:overflowPunct w:val="0"/>
              <w:spacing w:before="20" w:after="20"/>
              <w:jc w:val="right"/>
              <w:textAlignment w:val="baseline"/>
              <w:rPr>
                <w:rFonts w:eastAsia="Times New Roman"/>
                <w:sz w:val="20"/>
                <w:lang w:val="pl-PL" w:eastAsia="hr-HR" w:bidi="hr-HR"/>
              </w:rPr>
            </w:pPr>
            <w:r w:rsidRPr="002837E2">
              <w:rPr>
                <w:rFonts w:eastAsia="Times New Roman"/>
                <w:sz w:val="20"/>
                <w:lang w:val="pl-PL" w:eastAsia="hr-HR" w:bidi="hr-HR"/>
              </w:rPr>
              <w:t xml:space="preserve">     447</w:t>
            </w:r>
            <w:r w:rsidR="00FB5EA0" w:rsidRPr="002837E2">
              <w:rPr>
                <w:rFonts w:eastAsia="Times New Roman"/>
                <w:sz w:val="20"/>
                <w:lang w:val="pl-PL" w:eastAsia="hr-HR" w:bidi="hr-HR"/>
              </w:rPr>
              <w:t>.</w:t>
            </w:r>
            <w:r w:rsidRPr="002837E2">
              <w:rPr>
                <w:rFonts w:eastAsia="Times New Roman"/>
                <w:sz w:val="20"/>
                <w:lang w:val="pl-PL" w:eastAsia="hr-HR" w:bidi="hr-HR"/>
              </w:rPr>
              <w:t>300,00</w:t>
            </w:r>
          </w:p>
        </w:tc>
      </w:tr>
      <w:tr w:rsidR="00DC22A0" w:rsidRPr="002837E2" w:rsidTr="00E0060B">
        <w:trPr>
          <w:jc w:val="center"/>
        </w:trPr>
        <w:tc>
          <w:tcPr>
            <w:tcW w:w="4928" w:type="dxa"/>
            <w:shd w:val="clear" w:color="auto" w:fill="auto"/>
          </w:tcPr>
          <w:p w:rsidR="00DC22A0" w:rsidRPr="002837E2" w:rsidRDefault="00DC22A0" w:rsidP="005F6F10">
            <w:pPr>
              <w:widowControl w:val="0"/>
              <w:suppressAutoHyphens/>
              <w:kinsoku w:val="0"/>
              <w:overflowPunct w:val="0"/>
              <w:spacing w:before="20" w:after="20"/>
              <w:textAlignment w:val="baseline"/>
              <w:rPr>
                <w:rFonts w:eastAsia="Times New Roman"/>
                <w:sz w:val="20"/>
                <w:lang w:val="pl-PL" w:eastAsia="hr-HR" w:bidi="hr-HR"/>
              </w:rPr>
            </w:pPr>
            <w:r w:rsidRPr="002837E2">
              <w:rPr>
                <w:rFonts w:eastAsia="Times New Roman"/>
                <w:sz w:val="20"/>
                <w:lang w:val="pl-PL" w:eastAsia="hr-HR" w:bidi="hr-HR"/>
              </w:rPr>
              <w:t>Proizvodnja goveđeg mesa</w:t>
            </w:r>
          </w:p>
        </w:tc>
        <w:tc>
          <w:tcPr>
            <w:tcW w:w="2551" w:type="dxa"/>
            <w:shd w:val="clear" w:color="auto" w:fill="auto"/>
          </w:tcPr>
          <w:p w:rsidR="00DC22A0" w:rsidRPr="002837E2" w:rsidRDefault="00DC22A0" w:rsidP="005F6F10">
            <w:pPr>
              <w:widowControl w:val="0"/>
              <w:suppressAutoHyphens/>
              <w:kinsoku w:val="0"/>
              <w:overflowPunct w:val="0"/>
              <w:spacing w:before="20" w:after="20"/>
              <w:jc w:val="right"/>
              <w:textAlignment w:val="baseline"/>
              <w:rPr>
                <w:rFonts w:eastAsia="Times New Roman"/>
                <w:sz w:val="20"/>
                <w:lang w:val="pl-PL" w:eastAsia="hr-HR" w:bidi="hr-HR"/>
              </w:rPr>
            </w:pPr>
            <w:r w:rsidRPr="002837E2">
              <w:rPr>
                <w:rFonts w:eastAsia="Times New Roman"/>
                <w:sz w:val="20"/>
                <w:lang w:val="pl-PL" w:eastAsia="hr-HR" w:bidi="hr-HR"/>
              </w:rPr>
              <w:t xml:space="preserve">       66</w:t>
            </w:r>
            <w:r w:rsidR="00FB5EA0" w:rsidRPr="002837E2">
              <w:rPr>
                <w:rFonts w:eastAsia="Times New Roman"/>
                <w:sz w:val="20"/>
                <w:lang w:val="pl-PL" w:eastAsia="hr-HR" w:bidi="hr-HR"/>
              </w:rPr>
              <w:t>.</w:t>
            </w:r>
            <w:r w:rsidRPr="002837E2">
              <w:rPr>
                <w:rFonts w:eastAsia="Times New Roman"/>
                <w:sz w:val="20"/>
                <w:lang w:val="pl-PL" w:eastAsia="hr-HR" w:bidi="hr-HR"/>
              </w:rPr>
              <w:t>150,00</w:t>
            </w:r>
          </w:p>
        </w:tc>
      </w:tr>
      <w:tr w:rsidR="00DC22A0" w:rsidRPr="002837E2" w:rsidTr="00E0060B">
        <w:trPr>
          <w:jc w:val="center"/>
        </w:trPr>
        <w:tc>
          <w:tcPr>
            <w:tcW w:w="4928" w:type="dxa"/>
            <w:shd w:val="clear" w:color="auto" w:fill="auto"/>
          </w:tcPr>
          <w:p w:rsidR="00DC22A0" w:rsidRPr="002837E2" w:rsidRDefault="00DC22A0" w:rsidP="005F6F10">
            <w:pPr>
              <w:widowControl w:val="0"/>
              <w:suppressAutoHyphens/>
              <w:kinsoku w:val="0"/>
              <w:overflowPunct w:val="0"/>
              <w:spacing w:before="20" w:after="20"/>
              <w:textAlignment w:val="baseline"/>
              <w:rPr>
                <w:rFonts w:eastAsia="Times New Roman"/>
                <w:sz w:val="20"/>
                <w:lang w:val="pl-PL" w:eastAsia="hr-HR" w:bidi="hr-HR"/>
              </w:rPr>
            </w:pPr>
            <w:r w:rsidRPr="002837E2">
              <w:rPr>
                <w:rFonts w:eastAsia="Times New Roman"/>
                <w:sz w:val="20"/>
                <w:lang w:val="pl-PL" w:eastAsia="hr-HR" w:bidi="hr-HR"/>
              </w:rPr>
              <w:t>Uzgoj rasplodne stoke(ovce i koze)</w:t>
            </w:r>
          </w:p>
        </w:tc>
        <w:tc>
          <w:tcPr>
            <w:tcW w:w="2551" w:type="dxa"/>
            <w:shd w:val="clear" w:color="auto" w:fill="auto"/>
          </w:tcPr>
          <w:p w:rsidR="00DC22A0" w:rsidRPr="002837E2" w:rsidRDefault="00DC22A0" w:rsidP="005F6F10">
            <w:pPr>
              <w:widowControl w:val="0"/>
              <w:suppressAutoHyphens/>
              <w:kinsoku w:val="0"/>
              <w:overflowPunct w:val="0"/>
              <w:spacing w:before="20" w:after="20"/>
              <w:jc w:val="right"/>
              <w:textAlignment w:val="baseline"/>
              <w:rPr>
                <w:rFonts w:eastAsia="Times New Roman"/>
                <w:sz w:val="20"/>
                <w:lang w:val="pl-PL" w:eastAsia="hr-HR" w:bidi="hr-HR"/>
              </w:rPr>
            </w:pPr>
            <w:r w:rsidRPr="002837E2">
              <w:rPr>
                <w:rFonts w:eastAsia="Times New Roman"/>
                <w:sz w:val="20"/>
                <w:lang w:val="pl-PL" w:eastAsia="hr-HR" w:bidi="hr-HR"/>
              </w:rPr>
              <w:t xml:space="preserve">  124</w:t>
            </w:r>
            <w:r w:rsidR="00FB5EA0" w:rsidRPr="002837E2">
              <w:rPr>
                <w:rFonts w:eastAsia="Times New Roman"/>
                <w:sz w:val="20"/>
                <w:lang w:val="pl-PL" w:eastAsia="hr-HR" w:bidi="hr-HR"/>
              </w:rPr>
              <w:t>.</w:t>
            </w:r>
            <w:r w:rsidRPr="002837E2">
              <w:rPr>
                <w:rFonts w:eastAsia="Times New Roman"/>
                <w:sz w:val="20"/>
                <w:lang w:val="pl-PL" w:eastAsia="hr-HR" w:bidi="hr-HR"/>
              </w:rPr>
              <w:t>705,00</w:t>
            </w:r>
          </w:p>
        </w:tc>
      </w:tr>
      <w:tr w:rsidR="00DC22A0" w:rsidRPr="002837E2" w:rsidTr="00E0060B">
        <w:trPr>
          <w:jc w:val="center"/>
        </w:trPr>
        <w:tc>
          <w:tcPr>
            <w:tcW w:w="4928" w:type="dxa"/>
            <w:shd w:val="clear" w:color="auto" w:fill="auto"/>
          </w:tcPr>
          <w:p w:rsidR="00DC22A0" w:rsidRPr="002837E2" w:rsidRDefault="00DC22A0" w:rsidP="005F6F10">
            <w:pPr>
              <w:widowControl w:val="0"/>
              <w:suppressAutoHyphens/>
              <w:kinsoku w:val="0"/>
              <w:overflowPunct w:val="0"/>
              <w:spacing w:before="20" w:after="20"/>
              <w:textAlignment w:val="baseline"/>
              <w:rPr>
                <w:rFonts w:eastAsia="Times New Roman"/>
                <w:sz w:val="20"/>
                <w:lang w:val="pl-PL" w:eastAsia="hr-HR" w:bidi="hr-HR"/>
              </w:rPr>
            </w:pPr>
            <w:r w:rsidRPr="002837E2">
              <w:rPr>
                <w:rFonts w:eastAsia="Times New Roman"/>
                <w:sz w:val="20"/>
                <w:lang w:val="pl-PL" w:eastAsia="hr-HR" w:bidi="hr-HR"/>
              </w:rPr>
              <w:t>Proizvodnja ječma i tritikala</w:t>
            </w:r>
          </w:p>
        </w:tc>
        <w:tc>
          <w:tcPr>
            <w:tcW w:w="2551" w:type="dxa"/>
            <w:shd w:val="clear" w:color="auto" w:fill="auto"/>
          </w:tcPr>
          <w:p w:rsidR="00DC22A0" w:rsidRPr="002837E2" w:rsidRDefault="00DC22A0" w:rsidP="005F6F10">
            <w:pPr>
              <w:widowControl w:val="0"/>
              <w:suppressAutoHyphens/>
              <w:kinsoku w:val="0"/>
              <w:overflowPunct w:val="0"/>
              <w:spacing w:before="20" w:after="20"/>
              <w:jc w:val="right"/>
              <w:textAlignment w:val="baseline"/>
              <w:rPr>
                <w:rFonts w:eastAsia="Times New Roman"/>
                <w:sz w:val="20"/>
                <w:lang w:val="pl-PL" w:eastAsia="hr-HR" w:bidi="hr-HR"/>
              </w:rPr>
            </w:pPr>
            <w:r w:rsidRPr="002837E2">
              <w:rPr>
                <w:rFonts w:eastAsia="Times New Roman"/>
                <w:sz w:val="20"/>
                <w:lang w:val="pl-PL" w:eastAsia="hr-HR" w:bidi="hr-HR"/>
              </w:rPr>
              <w:t xml:space="preserve">   76</w:t>
            </w:r>
            <w:r w:rsidR="00FB5EA0" w:rsidRPr="002837E2">
              <w:rPr>
                <w:rFonts w:eastAsia="Times New Roman"/>
                <w:sz w:val="20"/>
                <w:lang w:val="pl-PL" w:eastAsia="hr-HR" w:bidi="hr-HR"/>
              </w:rPr>
              <w:t>.</w:t>
            </w:r>
            <w:r w:rsidRPr="002837E2">
              <w:rPr>
                <w:rFonts w:eastAsia="Times New Roman"/>
                <w:sz w:val="20"/>
                <w:lang w:val="pl-PL" w:eastAsia="hr-HR" w:bidi="hr-HR"/>
              </w:rPr>
              <w:t>996,50</w:t>
            </w:r>
          </w:p>
        </w:tc>
      </w:tr>
      <w:tr w:rsidR="00DC22A0" w:rsidRPr="002837E2" w:rsidTr="00E0060B">
        <w:trPr>
          <w:jc w:val="center"/>
        </w:trPr>
        <w:tc>
          <w:tcPr>
            <w:tcW w:w="4928" w:type="dxa"/>
            <w:shd w:val="clear" w:color="auto" w:fill="auto"/>
          </w:tcPr>
          <w:p w:rsidR="00DC22A0" w:rsidRPr="002837E2" w:rsidRDefault="00DC22A0" w:rsidP="005F6F10">
            <w:pPr>
              <w:widowControl w:val="0"/>
              <w:suppressAutoHyphens/>
              <w:kinsoku w:val="0"/>
              <w:overflowPunct w:val="0"/>
              <w:spacing w:before="20" w:after="20"/>
              <w:textAlignment w:val="baseline"/>
              <w:rPr>
                <w:rFonts w:eastAsia="Times New Roman"/>
                <w:sz w:val="20"/>
                <w:lang w:val="pl-PL" w:eastAsia="hr-HR" w:bidi="hr-HR"/>
              </w:rPr>
            </w:pPr>
            <w:r w:rsidRPr="002837E2">
              <w:rPr>
                <w:rFonts w:eastAsia="Times New Roman"/>
                <w:sz w:val="20"/>
                <w:lang w:val="pl-PL" w:eastAsia="hr-HR" w:bidi="hr-HR"/>
              </w:rPr>
              <w:t>Proizvodnja hljebnih žita</w:t>
            </w:r>
          </w:p>
        </w:tc>
        <w:tc>
          <w:tcPr>
            <w:tcW w:w="2551" w:type="dxa"/>
            <w:shd w:val="clear" w:color="auto" w:fill="auto"/>
          </w:tcPr>
          <w:p w:rsidR="00DC22A0" w:rsidRPr="002837E2" w:rsidRDefault="00DC22A0" w:rsidP="005F6F10">
            <w:pPr>
              <w:widowControl w:val="0"/>
              <w:suppressAutoHyphens/>
              <w:kinsoku w:val="0"/>
              <w:overflowPunct w:val="0"/>
              <w:spacing w:before="20" w:after="20"/>
              <w:jc w:val="right"/>
              <w:textAlignment w:val="baseline"/>
              <w:rPr>
                <w:rFonts w:eastAsia="Times New Roman"/>
                <w:sz w:val="20"/>
                <w:lang w:val="pl-PL" w:eastAsia="hr-HR" w:bidi="hr-HR"/>
              </w:rPr>
            </w:pPr>
            <w:r w:rsidRPr="002837E2">
              <w:rPr>
                <w:rFonts w:eastAsia="Times New Roman"/>
                <w:sz w:val="20"/>
                <w:lang w:val="pl-PL" w:eastAsia="hr-HR" w:bidi="hr-HR"/>
              </w:rPr>
              <w:t xml:space="preserve">     42</w:t>
            </w:r>
            <w:r w:rsidR="00FB5EA0" w:rsidRPr="002837E2">
              <w:rPr>
                <w:rFonts w:eastAsia="Times New Roman"/>
                <w:sz w:val="20"/>
                <w:lang w:val="pl-PL" w:eastAsia="hr-HR" w:bidi="hr-HR"/>
              </w:rPr>
              <w:t>.</w:t>
            </w:r>
            <w:r w:rsidRPr="002837E2">
              <w:rPr>
                <w:rFonts w:eastAsia="Times New Roman"/>
                <w:sz w:val="20"/>
                <w:lang w:val="pl-PL" w:eastAsia="hr-HR" w:bidi="hr-HR"/>
              </w:rPr>
              <w:t xml:space="preserve">735,00 </w:t>
            </w:r>
          </w:p>
        </w:tc>
      </w:tr>
      <w:tr w:rsidR="00DC22A0" w:rsidRPr="002837E2" w:rsidTr="00E0060B">
        <w:trPr>
          <w:jc w:val="center"/>
        </w:trPr>
        <w:tc>
          <w:tcPr>
            <w:tcW w:w="4928" w:type="dxa"/>
            <w:shd w:val="clear" w:color="auto" w:fill="auto"/>
          </w:tcPr>
          <w:p w:rsidR="00DC22A0" w:rsidRPr="002837E2" w:rsidRDefault="00DC22A0" w:rsidP="005F6F10">
            <w:pPr>
              <w:widowControl w:val="0"/>
              <w:suppressAutoHyphens/>
              <w:kinsoku w:val="0"/>
              <w:overflowPunct w:val="0"/>
              <w:spacing w:before="20" w:after="20"/>
              <w:textAlignment w:val="baseline"/>
              <w:rPr>
                <w:rFonts w:eastAsia="Times New Roman"/>
                <w:sz w:val="20"/>
                <w:lang w:val="pl-PL" w:eastAsia="hr-HR" w:bidi="hr-HR"/>
              </w:rPr>
            </w:pPr>
            <w:r w:rsidRPr="002837E2">
              <w:rPr>
                <w:rFonts w:eastAsia="Times New Roman"/>
                <w:sz w:val="20"/>
                <w:lang w:val="pl-PL" w:eastAsia="hr-HR" w:bidi="hr-HR"/>
              </w:rPr>
              <w:t>Proizvodnja silažnog kukuruza</w:t>
            </w:r>
          </w:p>
        </w:tc>
        <w:tc>
          <w:tcPr>
            <w:tcW w:w="2551" w:type="dxa"/>
            <w:shd w:val="clear" w:color="auto" w:fill="auto"/>
          </w:tcPr>
          <w:p w:rsidR="00DC22A0" w:rsidRPr="002837E2" w:rsidRDefault="00DC22A0" w:rsidP="005F6F10">
            <w:pPr>
              <w:widowControl w:val="0"/>
              <w:suppressAutoHyphens/>
              <w:kinsoku w:val="0"/>
              <w:overflowPunct w:val="0"/>
              <w:spacing w:before="20" w:after="20"/>
              <w:jc w:val="right"/>
              <w:textAlignment w:val="baseline"/>
              <w:rPr>
                <w:rFonts w:eastAsia="Times New Roman"/>
                <w:sz w:val="20"/>
                <w:lang w:val="pl-PL" w:eastAsia="hr-HR" w:bidi="hr-HR"/>
              </w:rPr>
            </w:pPr>
            <w:r w:rsidRPr="002837E2">
              <w:rPr>
                <w:rFonts w:eastAsia="Times New Roman"/>
                <w:sz w:val="20"/>
                <w:lang w:val="pl-PL" w:eastAsia="hr-HR" w:bidi="hr-HR"/>
              </w:rPr>
              <w:t xml:space="preserve">     507</w:t>
            </w:r>
            <w:r w:rsidR="00FB5EA0" w:rsidRPr="002837E2">
              <w:rPr>
                <w:rFonts w:eastAsia="Times New Roman"/>
                <w:sz w:val="20"/>
                <w:lang w:val="pl-PL" w:eastAsia="hr-HR" w:bidi="hr-HR"/>
              </w:rPr>
              <w:t>.</w:t>
            </w:r>
            <w:r w:rsidRPr="002837E2">
              <w:rPr>
                <w:rFonts w:eastAsia="Times New Roman"/>
                <w:sz w:val="20"/>
                <w:lang w:val="pl-PL" w:eastAsia="hr-HR" w:bidi="hr-HR"/>
              </w:rPr>
              <w:t>468,00</w:t>
            </w:r>
          </w:p>
        </w:tc>
      </w:tr>
      <w:tr w:rsidR="00DC22A0" w:rsidRPr="002837E2" w:rsidTr="00E0060B">
        <w:trPr>
          <w:jc w:val="center"/>
        </w:trPr>
        <w:tc>
          <w:tcPr>
            <w:tcW w:w="4928" w:type="dxa"/>
            <w:shd w:val="clear" w:color="auto" w:fill="auto"/>
          </w:tcPr>
          <w:p w:rsidR="00DC22A0" w:rsidRPr="002837E2" w:rsidRDefault="00DC22A0" w:rsidP="005F6F10">
            <w:pPr>
              <w:widowControl w:val="0"/>
              <w:suppressAutoHyphens/>
              <w:kinsoku w:val="0"/>
              <w:overflowPunct w:val="0"/>
              <w:spacing w:before="20" w:after="20"/>
              <w:textAlignment w:val="baseline"/>
              <w:rPr>
                <w:rFonts w:eastAsia="Times New Roman"/>
                <w:sz w:val="20"/>
                <w:lang w:val="pl-PL" w:eastAsia="hr-HR" w:bidi="hr-HR"/>
              </w:rPr>
            </w:pPr>
            <w:r w:rsidRPr="002837E2">
              <w:rPr>
                <w:rFonts w:eastAsia="Times New Roman"/>
                <w:sz w:val="20"/>
                <w:lang w:val="pl-PL" w:eastAsia="hr-HR" w:bidi="hr-HR"/>
              </w:rPr>
              <w:t xml:space="preserve">Proizvodnja uljarica    </w:t>
            </w:r>
          </w:p>
        </w:tc>
        <w:tc>
          <w:tcPr>
            <w:tcW w:w="2551" w:type="dxa"/>
            <w:shd w:val="clear" w:color="auto" w:fill="auto"/>
          </w:tcPr>
          <w:p w:rsidR="00DC22A0" w:rsidRPr="002837E2" w:rsidRDefault="00DC22A0" w:rsidP="005F6F10">
            <w:pPr>
              <w:widowControl w:val="0"/>
              <w:suppressAutoHyphens/>
              <w:kinsoku w:val="0"/>
              <w:overflowPunct w:val="0"/>
              <w:spacing w:before="20" w:after="20"/>
              <w:jc w:val="right"/>
              <w:textAlignment w:val="baseline"/>
              <w:rPr>
                <w:rFonts w:eastAsia="Times New Roman"/>
                <w:sz w:val="20"/>
                <w:lang w:val="pl-PL" w:eastAsia="hr-HR" w:bidi="hr-HR"/>
              </w:rPr>
            </w:pPr>
            <w:r w:rsidRPr="002837E2">
              <w:rPr>
                <w:rFonts w:eastAsia="Times New Roman"/>
                <w:sz w:val="20"/>
                <w:lang w:val="pl-PL" w:eastAsia="hr-HR" w:bidi="hr-HR"/>
              </w:rPr>
              <w:t xml:space="preserve">            4</w:t>
            </w:r>
            <w:r w:rsidR="00FB5EA0" w:rsidRPr="002837E2">
              <w:rPr>
                <w:rFonts w:eastAsia="Times New Roman"/>
                <w:sz w:val="20"/>
                <w:lang w:val="pl-PL" w:eastAsia="hr-HR" w:bidi="hr-HR"/>
              </w:rPr>
              <w:t>.</w:t>
            </w:r>
            <w:r w:rsidRPr="002837E2">
              <w:rPr>
                <w:rFonts w:eastAsia="Times New Roman"/>
                <w:sz w:val="20"/>
                <w:lang w:val="pl-PL" w:eastAsia="hr-HR" w:bidi="hr-HR"/>
              </w:rPr>
              <w:t>696,00</w:t>
            </w:r>
          </w:p>
        </w:tc>
      </w:tr>
      <w:tr w:rsidR="00DC22A0" w:rsidRPr="002837E2" w:rsidTr="00E0060B">
        <w:trPr>
          <w:jc w:val="center"/>
        </w:trPr>
        <w:tc>
          <w:tcPr>
            <w:tcW w:w="4928" w:type="dxa"/>
            <w:shd w:val="clear" w:color="auto" w:fill="auto"/>
          </w:tcPr>
          <w:p w:rsidR="00DC22A0" w:rsidRPr="002837E2" w:rsidRDefault="00DC22A0" w:rsidP="005F6F10">
            <w:pPr>
              <w:widowControl w:val="0"/>
              <w:suppressAutoHyphens/>
              <w:kinsoku w:val="0"/>
              <w:overflowPunct w:val="0"/>
              <w:spacing w:before="20" w:after="20"/>
              <w:textAlignment w:val="baseline"/>
              <w:rPr>
                <w:rFonts w:eastAsia="Times New Roman"/>
                <w:sz w:val="20"/>
                <w:lang w:val="pl-PL" w:eastAsia="hr-HR" w:bidi="hr-HR"/>
              </w:rPr>
            </w:pPr>
            <w:r w:rsidRPr="002837E2">
              <w:rPr>
                <w:rFonts w:eastAsia="Times New Roman"/>
                <w:sz w:val="20"/>
                <w:lang w:val="pl-PL" w:eastAsia="hr-HR" w:bidi="hr-HR"/>
              </w:rPr>
              <w:t>Mliječne krave u sistemu otkupa mlijeka</w:t>
            </w:r>
          </w:p>
        </w:tc>
        <w:tc>
          <w:tcPr>
            <w:tcW w:w="2551" w:type="dxa"/>
            <w:shd w:val="clear" w:color="auto" w:fill="auto"/>
          </w:tcPr>
          <w:p w:rsidR="00DC22A0" w:rsidRPr="002837E2" w:rsidRDefault="00DC22A0" w:rsidP="005F6F10">
            <w:pPr>
              <w:widowControl w:val="0"/>
              <w:suppressAutoHyphens/>
              <w:kinsoku w:val="0"/>
              <w:overflowPunct w:val="0"/>
              <w:spacing w:before="20" w:after="20"/>
              <w:jc w:val="right"/>
              <w:textAlignment w:val="baseline"/>
              <w:rPr>
                <w:rFonts w:eastAsia="Times New Roman"/>
                <w:sz w:val="20"/>
                <w:lang w:val="pl-PL" w:eastAsia="hr-HR" w:bidi="hr-HR"/>
              </w:rPr>
            </w:pPr>
            <w:r w:rsidRPr="002837E2">
              <w:rPr>
                <w:rFonts w:eastAsia="Times New Roman"/>
                <w:sz w:val="20"/>
                <w:lang w:val="pl-PL" w:eastAsia="hr-HR" w:bidi="hr-HR"/>
              </w:rPr>
              <w:t xml:space="preserve">         189</w:t>
            </w:r>
            <w:r w:rsidR="00FB5EA0" w:rsidRPr="002837E2">
              <w:rPr>
                <w:rFonts w:eastAsia="Times New Roman"/>
                <w:sz w:val="20"/>
                <w:lang w:val="pl-PL" w:eastAsia="hr-HR" w:bidi="hr-HR"/>
              </w:rPr>
              <w:t>.</w:t>
            </w:r>
            <w:r w:rsidRPr="002837E2">
              <w:rPr>
                <w:rFonts w:eastAsia="Times New Roman"/>
                <w:sz w:val="20"/>
                <w:lang w:val="pl-PL" w:eastAsia="hr-HR" w:bidi="hr-HR"/>
              </w:rPr>
              <w:t>500,00</w:t>
            </w:r>
          </w:p>
        </w:tc>
      </w:tr>
      <w:tr w:rsidR="00DC22A0" w:rsidRPr="002837E2" w:rsidTr="00E0060B">
        <w:trPr>
          <w:jc w:val="center"/>
        </w:trPr>
        <w:tc>
          <w:tcPr>
            <w:tcW w:w="4928" w:type="dxa"/>
            <w:shd w:val="clear" w:color="auto" w:fill="auto"/>
          </w:tcPr>
          <w:p w:rsidR="00DC22A0" w:rsidRPr="002837E2" w:rsidRDefault="00DC22A0" w:rsidP="005F6F10">
            <w:pPr>
              <w:widowControl w:val="0"/>
              <w:suppressAutoHyphens/>
              <w:kinsoku w:val="0"/>
              <w:overflowPunct w:val="0"/>
              <w:spacing w:before="20" w:after="20"/>
              <w:textAlignment w:val="baseline"/>
              <w:rPr>
                <w:rFonts w:eastAsia="Times New Roman"/>
                <w:sz w:val="20"/>
                <w:lang w:val="pl-PL" w:eastAsia="hr-HR" w:bidi="hr-HR"/>
              </w:rPr>
            </w:pPr>
            <w:r w:rsidRPr="002837E2">
              <w:rPr>
                <w:rFonts w:eastAsia="Times New Roman"/>
                <w:sz w:val="20"/>
                <w:lang w:val="pl-PL" w:eastAsia="hr-HR" w:bidi="hr-HR"/>
              </w:rPr>
              <w:t>Sufinansiranje premije osiguranja</w:t>
            </w:r>
          </w:p>
        </w:tc>
        <w:tc>
          <w:tcPr>
            <w:tcW w:w="2551" w:type="dxa"/>
            <w:shd w:val="clear" w:color="auto" w:fill="auto"/>
          </w:tcPr>
          <w:p w:rsidR="00DC22A0" w:rsidRPr="002837E2" w:rsidRDefault="00DC22A0" w:rsidP="005F6F10">
            <w:pPr>
              <w:widowControl w:val="0"/>
              <w:suppressAutoHyphens/>
              <w:kinsoku w:val="0"/>
              <w:overflowPunct w:val="0"/>
              <w:spacing w:before="20" w:after="20"/>
              <w:jc w:val="right"/>
              <w:textAlignment w:val="baseline"/>
              <w:rPr>
                <w:rFonts w:eastAsia="Times New Roman"/>
                <w:sz w:val="20"/>
                <w:lang w:val="pl-PL" w:eastAsia="hr-HR" w:bidi="hr-HR"/>
              </w:rPr>
            </w:pPr>
            <w:r w:rsidRPr="002837E2">
              <w:rPr>
                <w:rFonts w:eastAsia="Times New Roman"/>
                <w:sz w:val="20"/>
                <w:lang w:val="pl-PL" w:eastAsia="hr-HR" w:bidi="hr-HR"/>
              </w:rPr>
              <w:t xml:space="preserve">           13</w:t>
            </w:r>
            <w:r w:rsidR="00FB5EA0" w:rsidRPr="002837E2">
              <w:rPr>
                <w:rFonts w:eastAsia="Times New Roman"/>
                <w:sz w:val="20"/>
                <w:lang w:val="pl-PL" w:eastAsia="hr-HR" w:bidi="hr-HR"/>
              </w:rPr>
              <w:t>.</w:t>
            </w:r>
            <w:r w:rsidRPr="002837E2">
              <w:rPr>
                <w:rFonts w:eastAsia="Times New Roman"/>
                <w:sz w:val="20"/>
                <w:lang w:val="pl-PL" w:eastAsia="hr-HR" w:bidi="hr-HR"/>
              </w:rPr>
              <w:t>463,02</w:t>
            </w:r>
          </w:p>
        </w:tc>
      </w:tr>
      <w:tr w:rsidR="00DC22A0" w:rsidRPr="002837E2" w:rsidTr="00E0060B">
        <w:trPr>
          <w:jc w:val="center"/>
        </w:trPr>
        <w:tc>
          <w:tcPr>
            <w:tcW w:w="4928" w:type="dxa"/>
            <w:shd w:val="clear" w:color="auto" w:fill="D9D9D9" w:themeFill="background1" w:themeFillShade="D9"/>
          </w:tcPr>
          <w:p w:rsidR="00DC22A0" w:rsidRPr="002837E2" w:rsidRDefault="00DC22A0" w:rsidP="005F6F10">
            <w:pPr>
              <w:widowControl w:val="0"/>
              <w:suppressAutoHyphens/>
              <w:kinsoku w:val="0"/>
              <w:overflowPunct w:val="0"/>
              <w:spacing w:before="20" w:after="20"/>
              <w:textAlignment w:val="baseline"/>
              <w:rPr>
                <w:rFonts w:eastAsia="Times New Roman"/>
                <w:b/>
                <w:sz w:val="20"/>
                <w:lang w:val="pl-PL" w:eastAsia="hr-HR" w:bidi="hr-HR"/>
              </w:rPr>
            </w:pPr>
            <w:r w:rsidRPr="002837E2">
              <w:rPr>
                <w:rFonts w:eastAsia="Times New Roman"/>
                <w:b/>
                <w:sz w:val="20"/>
                <w:lang w:val="pl-PL" w:eastAsia="hr-HR" w:bidi="hr-HR"/>
              </w:rPr>
              <w:t>UKUPNO</w:t>
            </w:r>
          </w:p>
        </w:tc>
        <w:tc>
          <w:tcPr>
            <w:tcW w:w="2551" w:type="dxa"/>
            <w:shd w:val="clear" w:color="auto" w:fill="D9D9D9" w:themeFill="background1" w:themeFillShade="D9"/>
          </w:tcPr>
          <w:p w:rsidR="00DC22A0" w:rsidRPr="002837E2" w:rsidRDefault="00FB5EA0" w:rsidP="005F6F10">
            <w:pPr>
              <w:widowControl w:val="0"/>
              <w:suppressAutoHyphens/>
              <w:kinsoku w:val="0"/>
              <w:overflowPunct w:val="0"/>
              <w:spacing w:before="20" w:after="20"/>
              <w:jc w:val="right"/>
              <w:textAlignment w:val="baseline"/>
              <w:rPr>
                <w:rFonts w:eastAsia="Times New Roman"/>
                <w:b/>
                <w:sz w:val="20"/>
                <w:lang w:val="pl-PL" w:eastAsia="hr-HR" w:bidi="hr-HR"/>
              </w:rPr>
            </w:pPr>
            <w:r w:rsidRPr="002837E2">
              <w:rPr>
                <w:rFonts w:eastAsia="Times New Roman"/>
                <w:b/>
                <w:sz w:val="20"/>
                <w:lang w:val="pl-PL" w:eastAsia="hr-HR" w:bidi="hr-HR"/>
              </w:rPr>
              <w:t>4.</w:t>
            </w:r>
            <w:r w:rsidR="00DC22A0" w:rsidRPr="002837E2">
              <w:rPr>
                <w:rFonts w:eastAsia="Times New Roman"/>
                <w:b/>
                <w:sz w:val="20"/>
                <w:lang w:val="pl-PL" w:eastAsia="hr-HR" w:bidi="hr-HR"/>
              </w:rPr>
              <w:t>635</w:t>
            </w:r>
            <w:r w:rsidRPr="002837E2">
              <w:rPr>
                <w:rFonts w:eastAsia="Times New Roman"/>
                <w:b/>
                <w:sz w:val="20"/>
                <w:lang w:val="pl-PL" w:eastAsia="hr-HR" w:bidi="hr-HR"/>
              </w:rPr>
              <w:t>.</w:t>
            </w:r>
            <w:r w:rsidR="00DC22A0" w:rsidRPr="002837E2">
              <w:rPr>
                <w:rFonts w:eastAsia="Times New Roman"/>
                <w:b/>
                <w:sz w:val="20"/>
                <w:lang w:val="pl-PL" w:eastAsia="hr-HR" w:bidi="hr-HR"/>
              </w:rPr>
              <w:t>372,72</w:t>
            </w:r>
          </w:p>
        </w:tc>
      </w:tr>
    </w:tbl>
    <w:p w:rsidR="00FB5EA0" w:rsidRPr="008525E7" w:rsidRDefault="00BC7C4C" w:rsidP="00C33393">
      <w:pPr>
        <w:pStyle w:val="Izvorpodataka"/>
        <w:rPr>
          <w:lang w:val="pl-PL" w:bidi="hr-HR"/>
        </w:rPr>
      </w:pPr>
      <w:r w:rsidRPr="008525E7">
        <w:rPr>
          <w:lang w:val="pl-PL" w:bidi="hr-HR"/>
        </w:rPr>
        <w:t>Izvor:</w:t>
      </w:r>
      <w:r w:rsidR="001233D2" w:rsidRPr="008525E7">
        <w:rPr>
          <w:lang w:val="pl-PL" w:bidi="hr-HR"/>
        </w:rPr>
        <w:t xml:space="preserve"> </w:t>
      </w:r>
      <w:r w:rsidR="001233D2" w:rsidRPr="008525E7">
        <w:rPr>
          <w:lang w:bidi="hr-HR"/>
        </w:rPr>
        <w:t>Služba za poljoprivredu općine Kalesija</w:t>
      </w:r>
    </w:p>
    <w:p w:rsidR="00DE6802" w:rsidRDefault="00FB5EA0" w:rsidP="00A01D01">
      <w:pPr>
        <w:rPr>
          <w:lang w:val="pl-PL" w:eastAsia="hr-HR" w:bidi="hr-HR"/>
        </w:rPr>
      </w:pPr>
      <w:r>
        <w:rPr>
          <w:lang w:val="pl-PL" w:eastAsia="hr-HR" w:bidi="hr-HR"/>
        </w:rPr>
        <w:t>Ukupni iznos poticaja u primarnoj po</w:t>
      </w:r>
      <w:r w:rsidR="00980DFD">
        <w:rPr>
          <w:lang w:val="pl-PL" w:eastAsia="hr-HR" w:bidi="hr-HR"/>
        </w:rPr>
        <w:t>ljoprivrednog proizvodnji u opć</w:t>
      </w:r>
      <w:r>
        <w:rPr>
          <w:lang w:val="pl-PL" w:eastAsia="hr-HR" w:bidi="hr-HR"/>
        </w:rPr>
        <w:t xml:space="preserve">ini Kalesija, sa </w:t>
      </w:r>
      <w:r w:rsidRPr="005F6F10">
        <w:rPr>
          <w:lang w:val="pl-PL" w:eastAsia="hr-HR" w:bidi="hr-HR"/>
        </w:rPr>
        <w:t xml:space="preserve">svih nivoa vlasti, iznosio je </w:t>
      </w:r>
      <w:r w:rsidR="00DC22A0" w:rsidRPr="005F6F10">
        <w:rPr>
          <w:lang w:val="pl-PL" w:eastAsia="hr-HR" w:bidi="hr-HR"/>
        </w:rPr>
        <w:t>4</w:t>
      </w:r>
      <w:r w:rsidRPr="005F6F10">
        <w:rPr>
          <w:lang w:val="pl-PL" w:eastAsia="hr-HR" w:bidi="hr-HR"/>
        </w:rPr>
        <w:t>.</w:t>
      </w:r>
      <w:r w:rsidR="00DC22A0" w:rsidRPr="005F6F10">
        <w:rPr>
          <w:lang w:val="pl-PL" w:eastAsia="hr-HR" w:bidi="hr-HR"/>
        </w:rPr>
        <w:t>939</w:t>
      </w:r>
      <w:r w:rsidRPr="005F6F10">
        <w:rPr>
          <w:lang w:val="pl-PL" w:eastAsia="hr-HR" w:bidi="hr-HR"/>
        </w:rPr>
        <w:t>.</w:t>
      </w:r>
      <w:r w:rsidR="00DC22A0" w:rsidRPr="005F6F10">
        <w:rPr>
          <w:lang w:val="pl-PL" w:eastAsia="hr-HR" w:bidi="hr-HR"/>
        </w:rPr>
        <w:t>499,61</w:t>
      </w:r>
      <w:r w:rsidR="00AF4ED6" w:rsidRPr="005F6F10">
        <w:rPr>
          <w:lang w:val="pl-PL" w:eastAsia="hr-HR" w:bidi="hr-HR"/>
        </w:rPr>
        <w:t xml:space="preserve"> KM </w:t>
      </w:r>
      <w:r w:rsidR="00DE6802" w:rsidRPr="005F6F10">
        <w:rPr>
          <w:lang w:val="pl-PL" w:eastAsia="hr-HR" w:bidi="hr-HR"/>
        </w:rPr>
        <w:t>(</w:t>
      </w:r>
      <w:r w:rsidR="003F430A" w:rsidRPr="005F6F10">
        <w:rPr>
          <w:lang w:val="pl-PL" w:eastAsia="hr-HR" w:bidi="hr-HR"/>
        </w:rPr>
        <w:t xml:space="preserve">tabela </w:t>
      </w:r>
      <w:r w:rsidR="005F6F10" w:rsidRPr="005F6F10">
        <w:rPr>
          <w:lang w:val="pl-PL" w:eastAsia="hr-HR" w:bidi="hr-HR"/>
        </w:rPr>
        <w:t>10</w:t>
      </w:r>
      <w:r w:rsidR="00DE6802" w:rsidRPr="005F6F10">
        <w:rPr>
          <w:lang w:val="pl-PL" w:eastAsia="hr-HR" w:bidi="hr-HR"/>
        </w:rPr>
        <w:t>)</w:t>
      </w:r>
      <w:r w:rsidR="00DC22A0" w:rsidRPr="005F6F10">
        <w:rPr>
          <w:lang w:val="pl-PL" w:eastAsia="hr-HR" w:bidi="hr-HR"/>
        </w:rPr>
        <w:t xml:space="preserve">. </w:t>
      </w:r>
      <w:r w:rsidR="00AF4ED6" w:rsidRPr="005F6F10">
        <w:t>Na osnovu prethodnih podataka</w:t>
      </w:r>
      <w:r w:rsidR="00AF4ED6" w:rsidRPr="00DE6802">
        <w:t xml:space="preserve"> vidi se da su novčane podrške u 2016. godini povećane oko šesnaest puta u odnosu na 2003. godinu.</w:t>
      </w:r>
    </w:p>
    <w:p w:rsidR="00C33393" w:rsidRDefault="00C33393">
      <w:pPr>
        <w:rPr>
          <w:rFonts w:eastAsia="Times New Roman"/>
          <w:b/>
          <w:sz w:val="20"/>
          <w:szCs w:val="24"/>
          <w:lang w:val="hr-HR" w:eastAsia="ar-SA" w:bidi="hr-HR"/>
        </w:rPr>
      </w:pPr>
      <w:r>
        <w:rPr>
          <w:rFonts w:eastAsia="Times New Roman"/>
          <w:szCs w:val="24"/>
        </w:rPr>
        <w:br w:type="page"/>
      </w:r>
    </w:p>
    <w:p w:rsidR="003F430A" w:rsidRPr="00980DFD" w:rsidRDefault="00173CC4" w:rsidP="00AD59CB">
      <w:pPr>
        <w:pStyle w:val="GrafiTabele"/>
        <w:rPr>
          <w:rFonts w:eastAsia="Times New Roman"/>
          <w:szCs w:val="24"/>
        </w:rPr>
      </w:pPr>
      <w:r>
        <w:rPr>
          <w:rFonts w:eastAsia="Times New Roman"/>
          <w:szCs w:val="24"/>
        </w:rPr>
        <w:lastRenderedPageBreak/>
        <w:t>Tabela 1</w:t>
      </w:r>
      <w:r w:rsidR="005F6F10">
        <w:rPr>
          <w:rFonts w:eastAsia="Times New Roman"/>
          <w:szCs w:val="24"/>
        </w:rPr>
        <w:t>0</w:t>
      </w:r>
      <w:r w:rsidR="003F430A" w:rsidRPr="00980DFD">
        <w:rPr>
          <w:rFonts w:eastAsia="Times New Roman"/>
          <w:szCs w:val="24"/>
        </w:rPr>
        <w:t>:</w:t>
      </w:r>
      <w:r w:rsidR="00980DFD" w:rsidRPr="00980DFD">
        <w:rPr>
          <w:rFonts w:eastAsia="Times New Roman"/>
          <w:szCs w:val="24"/>
        </w:rPr>
        <w:t xml:space="preserve"> </w:t>
      </w:r>
      <w:r w:rsidR="00980DFD" w:rsidRPr="00980DFD">
        <w:t>Ukupni iznos poticaja u primarnoj poljoprivrednog proizvodnji u općini Kalesija u periodu 2003.-2016.</w:t>
      </w:r>
    </w:p>
    <w:tbl>
      <w:tblPr>
        <w:tblW w:w="5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1349"/>
        <w:gridCol w:w="2843"/>
      </w:tblGrid>
      <w:tr w:rsidR="00DC22A0" w:rsidRPr="001641D1" w:rsidTr="005F6F10">
        <w:trPr>
          <w:trHeight w:val="354"/>
          <w:jc w:val="center"/>
        </w:trPr>
        <w:tc>
          <w:tcPr>
            <w:tcW w:w="9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22A0" w:rsidRPr="001641D1" w:rsidRDefault="002837E2" w:rsidP="005F6F10">
            <w:pPr>
              <w:pStyle w:val="TextinTables"/>
              <w:jc w:val="center"/>
              <w:rPr>
                <w:b/>
              </w:rPr>
            </w:pPr>
            <w:r w:rsidRPr="001641D1">
              <w:rPr>
                <w:b/>
              </w:rPr>
              <w:t>R</w:t>
            </w:r>
            <w:r w:rsidR="00DE6802" w:rsidRPr="001641D1">
              <w:rPr>
                <w:b/>
              </w:rPr>
              <w:t>.br.</w:t>
            </w:r>
          </w:p>
        </w:tc>
        <w:tc>
          <w:tcPr>
            <w:tcW w:w="1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22A0" w:rsidRPr="001641D1" w:rsidRDefault="00DC22A0" w:rsidP="005F6F10">
            <w:pPr>
              <w:pStyle w:val="TextinTables"/>
              <w:jc w:val="center"/>
              <w:rPr>
                <w:b/>
              </w:rPr>
            </w:pPr>
            <w:r w:rsidRPr="001641D1">
              <w:rPr>
                <w:b/>
              </w:rPr>
              <w:t>Godina</w:t>
            </w:r>
          </w:p>
        </w:tc>
        <w:tc>
          <w:tcPr>
            <w:tcW w:w="2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22A0" w:rsidRPr="001641D1" w:rsidRDefault="00DE6802" w:rsidP="005F6F10">
            <w:pPr>
              <w:pStyle w:val="TextinTables"/>
              <w:jc w:val="center"/>
              <w:rPr>
                <w:b/>
              </w:rPr>
            </w:pPr>
            <w:r w:rsidRPr="001641D1">
              <w:rPr>
                <w:b/>
              </w:rPr>
              <w:t>Iznos novčane podrške u KM</w:t>
            </w:r>
          </w:p>
        </w:tc>
      </w:tr>
      <w:tr w:rsidR="00DC22A0" w:rsidRPr="00047CE3" w:rsidTr="005F6F10">
        <w:trPr>
          <w:trHeight w:val="288"/>
          <w:jc w:val="center"/>
        </w:trPr>
        <w:tc>
          <w:tcPr>
            <w:tcW w:w="905"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2003</w:t>
            </w:r>
          </w:p>
        </w:tc>
        <w:tc>
          <w:tcPr>
            <w:tcW w:w="2843"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right"/>
            </w:pPr>
            <w:r w:rsidRPr="00047CE3">
              <w:t>312</w:t>
            </w:r>
            <w:r w:rsidR="00DE6802" w:rsidRPr="00047CE3">
              <w:t>.</w:t>
            </w:r>
            <w:r w:rsidRPr="00047CE3">
              <w:t>330</w:t>
            </w:r>
            <w:r w:rsidR="00DE6802" w:rsidRPr="00047CE3">
              <w:t>,</w:t>
            </w:r>
            <w:r w:rsidRPr="00047CE3">
              <w:t>00</w:t>
            </w:r>
          </w:p>
        </w:tc>
      </w:tr>
      <w:tr w:rsidR="00DC22A0" w:rsidRPr="00047CE3" w:rsidTr="005F6F10">
        <w:trPr>
          <w:trHeight w:val="304"/>
          <w:jc w:val="center"/>
        </w:trPr>
        <w:tc>
          <w:tcPr>
            <w:tcW w:w="905"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2.</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2004</w:t>
            </w:r>
          </w:p>
        </w:tc>
        <w:tc>
          <w:tcPr>
            <w:tcW w:w="2843"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right"/>
            </w:pPr>
            <w:r w:rsidRPr="00047CE3">
              <w:t>428</w:t>
            </w:r>
            <w:r w:rsidR="00DE6802" w:rsidRPr="00047CE3">
              <w:t>.</w:t>
            </w:r>
            <w:r w:rsidRPr="00047CE3">
              <w:t>000</w:t>
            </w:r>
            <w:r w:rsidR="00DE6802" w:rsidRPr="00047CE3">
              <w:t>,</w:t>
            </w:r>
            <w:r w:rsidRPr="00047CE3">
              <w:t>00</w:t>
            </w:r>
          </w:p>
        </w:tc>
      </w:tr>
      <w:tr w:rsidR="00DC22A0" w:rsidRPr="00047CE3" w:rsidTr="005F6F10">
        <w:trPr>
          <w:trHeight w:val="288"/>
          <w:jc w:val="center"/>
        </w:trPr>
        <w:tc>
          <w:tcPr>
            <w:tcW w:w="905"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3.</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2005</w:t>
            </w:r>
          </w:p>
        </w:tc>
        <w:tc>
          <w:tcPr>
            <w:tcW w:w="2843"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right"/>
            </w:pPr>
            <w:r w:rsidRPr="00047CE3">
              <w:t>674</w:t>
            </w:r>
            <w:r w:rsidR="00DE6802" w:rsidRPr="00047CE3">
              <w:t>.</w:t>
            </w:r>
            <w:r w:rsidRPr="00047CE3">
              <w:t>979</w:t>
            </w:r>
            <w:r w:rsidR="00DE6802" w:rsidRPr="00047CE3">
              <w:t>,</w:t>
            </w:r>
            <w:r w:rsidRPr="00047CE3">
              <w:t>00</w:t>
            </w:r>
          </w:p>
        </w:tc>
      </w:tr>
      <w:tr w:rsidR="00DC22A0" w:rsidRPr="00047CE3" w:rsidTr="005F6F10">
        <w:trPr>
          <w:trHeight w:val="304"/>
          <w:jc w:val="center"/>
        </w:trPr>
        <w:tc>
          <w:tcPr>
            <w:tcW w:w="905"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4.</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2006</w:t>
            </w:r>
          </w:p>
        </w:tc>
        <w:tc>
          <w:tcPr>
            <w:tcW w:w="2843"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E6802" w:rsidP="005F6F10">
            <w:pPr>
              <w:pStyle w:val="TextinTables"/>
              <w:jc w:val="right"/>
            </w:pPr>
            <w:r w:rsidRPr="00047CE3">
              <w:t>978.</w:t>
            </w:r>
            <w:r w:rsidR="00DC22A0" w:rsidRPr="00047CE3">
              <w:t>958</w:t>
            </w:r>
            <w:r w:rsidRPr="00047CE3">
              <w:t>,</w:t>
            </w:r>
            <w:r w:rsidR="00DC22A0" w:rsidRPr="00047CE3">
              <w:t>00</w:t>
            </w:r>
          </w:p>
        </w:tc>
      </w:tr>
      <w:tr w:rsidR="00DC22A0" w:rsidRPr="00047CE3" w:rsidTr="005F6F10">
        <w:trPr>
          <w:trHeight w:val="275"/>
          <w:jc w:val="center"/>
        </w:trPr>
        <w:tc>
          <w:tcPr>
            <w:tcW w:w="905"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5.</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2007</w:t>
            </w:r>
          </w:p>
        </w:tc>
        <w:tc>
          <w:tcPr>
            <w:tcW w:w="2843"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right"/>
            </w:pPr>
            <w:r w:rsidRPr="00047CE3">
              <w:t>1</w:t>
            </w:r>
            <w:r w:rsidR="00DE6802" w:rsidRPr="00047CE3">
              <w:t>.</w:t>
            </w:r>
            <w:r w:rsidRPr="00047CE3">
              <w:t>571</w:t>
            </w:r>
            <w:r w:rsidR="00DE6802" w:rsidRPr="00047CE3">
              <w:t>.</w:t>
            </w:r>
            <w:r w:rsidRPr="00047CE3">
              <w:t>119,00</w:t>
            </w:r>
          </w:p>
        </w:tc>
      </w:tr>
      <w:tr w:rsidR="00DC22A0" w:rsidRPr="00047CE3" w:rsidTr="005F6F10">
        <w:trPr>
          <w:trHeight w:val="304"/>
          <w:jc w:val="center"/>
        </w:trPr>
        <w:tc>
          <w:tcPr>
            <w:tcW w:w="905"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6.</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2008</w:t>
            </w:r>
          </w:p>
        </w:tc>
        <w:tc>
          <w:tcPr>
            <w:tcW w:w="2843"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right"/>
            </w:pPr>
            <w:r w:rsidRPr="00047CE3">
              <w:t>2</w:t>
            </w:r>
            <w:r w:rsidR="00DE6802" w:rsidRPr="00047CE3">
              <w:t>.</w:t>
            </w:r>
            <w:r w:rsidRPr="00047CE3">
              <w:t>026</w:t>
            </w:r>
            <w:r w:rsidR="00DE6802" w:rsidRPr="00047CE3">
              <w:t>.</w:t>
            </w:r>
            <w:r w:rsidRPr="00047CE3">
              <w:t>584,40</w:t>
            </w:r>
          </w:p>
        </w:tc>
      </w:tr>
      <w:tr w:rsidR="00DC22A0" w:rsidRPr="00047CE3" w:rsidTr="005F6F10">
        <w:trPr>
          <w:trHeight w:val="288"/>
          <w:jc w:val="center"/>
        </w:trPr>
        <w:tc>
          <w:tcPr>
            <w:tcW w:w="905"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7.</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2009</w:t>
            </w:r>
          </w:p>
        </w:tc>
        <w:tc>
          <w:tcPr>
            <w:tcW w:w="2843"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right"/>
            </w:pPr>
            <w:r w:rsidRPr="00047CE3">
              <w:t>1</w:t>
            </w:r>
            <w:r w:rsidR="00DE6802" w:rsidRPr="00047CE3">
              <w:t>.</w:t>
            </w:r>
            <w:r w:rsidRPr="00047CE3">
              <w:t>745</w:t>
            </w:r>
            <w:r w:rsidR="00DE6802" w:rsidRPr="00047CE3">
              <w:t>.</w:t>
            </w:r>
            <w:r w:rsidRPr="00047CE3">
              <w:t>785,74</w:t>
            </w:r>
          </w:p>
        </w:tc>
      </w:tr>
      <w:tr w:rsidR="00DC22A0" w:rsidRPr="00047CE3" w:rsidTr="005F6F10">
        <w:trPr>
          <w:trHeight w:val="304"/>
          <w:jc w:val="center"/>
        </w:trPr>
        <w:tc>
          <w:tcPr>
            <w:tcW w:w="905"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8.</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2010</w:t>
            </w:r>
          </w:p>
        </w:tc>
        <w:tc>
          <w:tcPr>
            <w:tcW w:w="2843"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E6802" w:rsidP="005F6F10">
            <w:pPr>
              <w:pStyle w:val="TextinTables"/>
              <w:jc w:val="right"/>
            </w:pPr>
            <w:r w:rsidRPr="00047CE3">
              <w:t>2.111.</w:t>
            </w:r>
            <w:r w:rsidR="00DC22A0" w:rsidRPr="00047CE3">
              <w:t>011,26</w:t>
            </w:r>
          </w:p>
        </w:tc>
      </w:tr>
      <w:tr w:rsidR="00DC22A0" w:rsidRPr="00047CE3" w:rsidTr="005F6F10">
        <w:trPr>
          <w:trHeight w:val="304"/>
          <w:jc w:val="center"/>
        </w:trPr>
        <w:tc>
          <w:tcPr>
            <w:tcW w:w="905"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9.</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2011</w:t>
            </w:r>
          </w:p>
        </w:tc>
        <w:tc>
          <w:tcPr>
            <w:tcW w:w="2843"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E6802" w:rsidP="005F6F10">
            <w:pPr>
              <w:pStyle w:val="TextinTables"/>
              <w:jc w:val="right"/>
            </w:pPr>
            <w:r w:rsidRPr="00047CE3">
              <w:t>3.081.</w:t>
            </w:r>
            <w:r w:rsidR="00DC22A0" w:rsidRPr="00047CE3">
              <w:t>608,53</w:t>
            </w:r>
          </w:p>
        </w:tc>
      </w:tr>
      <w:tr w:rsidR="00DC22A0" w:rsidRPr="00047CE3" w:rsidTr="005F6F10">
        <w:trPr>
          <w:trHeight w:val="304"/>
          <w:jc w:val="center"/>
        </w:trPr>
        <w:tc>
          <w:tcPr>
            <w:tcW w:w="905"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10.</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2012</w:t>
            </w:r>
          </w:p>
        </w:tc>
        <w:tc>
          <w:tcPr>
            <w:tcW w:w="2843"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E6802" w:rsidP="005F6F10">
            <w:pPr>
              <w:pStyle w:val="TextinTables"/>
              <w:jc w:val="right"/>
            </w:pPr>
            <w:r w:rsidRPr="00047CE3">
              <w:t>2.726.</w:t>
            </w:r>
            <w:r w:rsidR="00DC22A0" w:rsidRPr="00047CE3">
              <w:t>240,50</w:t>
            </w:r>
          </w:p>
        </w:tc>
      </w:tr>
      <w:tr w:rsidR="00DC22A0" w:rsidRPr="00047CE3" w:rsidTr="005F6F10">
        <w:trPr>
          <w:trHeight w:val="304"/>
          <w:jc w:val="center"/>
        </w:trPr>
        <w:tc>
          <w:tcPr>
            <w:tcW w:w="905"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11.</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2013</w:t>
            </w:r>
          </w:p>
        </w:tc>
        <w:tc>
          <w:tcPr>
            <w:tcW w:w="2843"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E6802" w:rsidP="005F6F10">
            <w:pPr>
              <w:pStyle w:val="TextinTables"/>
              <w:jc w:val="right"/>
            </w:pPr>
            <w:r w:rsidRPr="00047CE3">
              <w:t>2.683.</w:t>
            </w:r>
            <w:r w:rsidR="00DC22A0" w:rsidRPr="00047CE3">
              <w:t>040,75</w:t>
            </w:r>
          </w:p>
        </w:tc>
      </w:tr>
      <w:tr w:rsidR="00DC22A0" w:rsidRPr="00047CE3" w:rsidTr="005F6F10">
        <w:trPr>
          <w:trHeight w:val="304"/>
          <w:jc w:val="center"/>
        </w:trPr>
        <w:tc>
          <w:tcPr>
            <w:tcW w:w="905"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12.</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2014</w:t>
            </w:r>
          </w:p>
        </w:tc>
        <w:tc>
          <w:tcPr>
            <w:tcW w:w="2843"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E6802" w:rsidP="005F6F10">
            <w:pPr>
              <w:pStyle w:val="TextinTables"/>
              <w:jc w:val="right"/>
            </w:pPr>
            <w:r w:rsidRPr="00047CE3">
              <w:t>4.438.</w:t>
            </w:r>
            <w:r w:rsidR="00DC22A0" w:rsidRPr="00047CE3">
              <w:t>443,51</w:t>
            </w:r>
          </w:p>
        </w:tc>
      </w:tr>
      <w:tr w:rsidR="00DC22A0" w:rsidRPr="00047CE3" w:rsidTr="005F6F10">
        <w:trPr>
          <w:trHeight w:val="304"/>
          <w:jc w:val="center"/>
        </w:trPr>
        <w:tc>
          <w:tcPr>
            <w:tcW w:w="905"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13.</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2015</w:t>
            </w:r>
          </w:p>
        </w:tc>
        <w:tc>
          <w:tcPr>
            <w:tcW w:w="2843"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E6802" w:rsidP="005F6F10">
            <w:pPr>
              <w:pStyle w:val="TextinTables"/>
              <w:jc w:val="right"/>
            </w:pPr>
            <w:r w:rsidRPr="00047CE3">
              <w:t>4.833.</w:t>
            </w:r>
            <w:r w:rsidR="00DC22A0" w:rsidRPr="00047CE3">
              <w:t>358,61</w:t>
            </w:r>
          </w:p>
        </w:tc>
      </w:tr>
      <w:tr w:rsidR="00DC22A0" w:rsidRPr="00047CE3" w:rsidTr="005F6F10">
        <w:trPr>
          <w:trHeight w:val="304"/>
          <w:jc w:val="center"/>
        </w:trPr>
        <w:tc>
          <w:tcPr>
            <w:tcW w:w="905"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14.</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C22A0" w:rsidP="005F6F10">
            <w:pPr>
              <w:pStyle w:val="TextinTables"/>
              <w:jc w:val="center"/>
            </w:pPr>
            <w:r w:rsidRPr="00047CE3">
              <w:t>2016</w:t>
            </w:r>
          </w:p>
        </w:tc>
        <w:tc>
          <w:tcPr>
            <w:tcW w:w="2843" w:type="dxa"/>
            <w:tcBorders>
              <w:top w:val="single" w:sz="4" w:space="0" w:color="auto"/>
              <w:left w:val="single" w:sz="4" w:space="0" w:color="auto"/>
              <w:bottom w:val="single" w:sz="4" w:space="0" w:color="auto"/>
              <w:right w:val="single" w:sz="4" w:space="0" w:color="auto"/>
            </w:tcBorders>
            <w:shd w:val="clear" w:color="auto" w:fill="auto"/>
          </w:tcPr>
          <w:p w:rsidR="00DC22A0" w:rsidRPr="00047CE3" w:rsidRDefault="00DE6802" w:rsidP="005F6F10">
            <w:pPr>
              <w:pStyle w:val="TextinTables"/>
              <w:jc w:val="right"/>
            </w:pPr>
            <w:r w:rsidRPr="00047CE3">
              <w:t>4.939.</w:t>
            </w:r>
            <w:r w:rsidR="00DC22A0" w:rsidRPr="00047CE3">
              <w:t>499,61</w:t>
            </w:r>
          </w:p>
        </w:tc>
      </w:tr>
    </w:tbl>
    <w:p w:rsidR="00DC22A0" w:rsidRPr="005F6F10" w:rsidRDefault="00BC7C4C" w:rsidP="005F6F10">
      <w:pPr>
        <w:pStyle w:val="Izvorpodataka"/>
        <w:rPr>
          <w:lang w:val="pl-PL" w:bidi="hr-HR"/>
        </w:rPr>
      </w:pPr>
      <w:r w:rsidRPr="005F6F10">
        <w:rPr>
          <w:lang w:val="pl-PL" w:bidi="hr-HR"/>
        </w:rPr>
        <w:t>Izvor:</w:t>
      </w:r>
      <w:r w:rsidR="00980DFD" w:rsidRPr="005F6F10">
        <w:rPr>
          <w:lang w:val="pl-PL" w:bidi="hr-HR"/>
        </w:rPr>
        <w:t xml:space="preserve"> </w:t>
      </w:r>
      <w:r w:rsidR="00980DFD" w:rsidRPr="005F6F10">
        <w:rPr>
          <w:lang w:bidi="hr-HR"/>
        </w:rPr>
        <w:t>Služba za poljoprivredu općine Kalesija</w:t>
      </w:r>
    </w:p>
    <w:p w:rsidR="00591E57" w:rsidRPr="00591E57" w:rsidRDefault="00DC22A0" w:rsidP="00A01D01">
      <w:pPr>
        <w:rPr>
          <w:lang w:val="hr-HR" w:eastAsia="hr-HR" w:bidi="hr-HR"/>
        </w:rPr>
      </w:pPr>
      <w:r w:rsidRPr="005F5DCD">
        <w:rPr>
          <w:lang w:val="hr-HR" w:eastAsia="hr-HR" w:bidi="hr-HR"/>
        </w:rPr>
        <w:t>N</w:t>
      </w:r>
      <w:r w:rsidRPr="005F5DCD">
        <w:rPr>
          <w:lang w:val="pl-PL" w:eastAsia="hr-HR" w:bidi="hr-HR"/>
        </w:rPr>
        <w:t>ov</w:t>
      </w:r>
      <w:r w:rsidRPr="005F5DCD">
        <w:rPr>
          <w:lang w:val="hr-HR" w:eastAsia="hr-HR" w:bidi="hr-HR"/>
        </w:rPr>
        <w:t>č</w:t>
      </w:r>
      <w:r w:rsidRPr="005F5DCD">
        <w:rPr>
          <w:lang w:val="pl-PL" w:eastAsia="hr-HR" w:bidi="hr-HR"/>
        </w:rPr>
        <w:t>an</w:t>
      </w:r>
      <w:r w:rsidR="00DE6802">
        <w:rPr>
          <w:lang w:val="pl-PL" w:eastAsia="hr-HR" w:bidi="hr-HR"/>
        </w:rPr>
        <w:t>i</w:t>
      </w:r>
      <w:r w:rsidRPr="005F5DCD">
        <w:rPr>
          <w:lang w:val="pl-PL" w:eastAsia="hr-HR" w:bidi="hr-HR"/>
        </w:rPr>
        <w:t xml:space="preserve"> </w:t>
      </w:r>
      <w:r w:rsidR="00DE6802">
        <w:rPr>
          <w:lang w:val="pl-PL" w:eastAsia="hr-HR" w:bidi="hr-HR"/>
        </w:rPr>
        <w:t>poticaji</w:t>
      </w:r>
      <w:r w:rsidRPr="005F5DCD">
        <w:rPr>
          <w:lang w:val="pl-PL" w:eastAsia="hr-HR" w:bidi="hr-HR"/>
        </w:rPr>
        <w:t xml:space="preserve"> imaju veliki zna</w:t>
      </w:r>
      <w:r w:rsidRPr="005F5DCD">
        <w:rPr>
          <w:lang w:val="hr-HR" w:eastAsia="hr-HR" w:bidi="hr-HR"/>
        </w:rPr>
        <w:t>č</w:t>
      </w:r>
      <w:r w:rsidRPr="005F5DCD">
        <w:rPr>
          <w:lang w:val="pl-PL" w:eastAsia="hr-HR" w:bidi="hr-HR"/>
        </w:rPr>
        <w:t>aj za odr</w:t>
      </w:r>
      <w:r w:rsidRPr="005F5DCD">
        <w:rPr>
          <w:lang w:val="hr-HR" w:eastAsia="hr-HR" w:bidi="hr-HR"/>
        </w:rPr>
        <w:t>ž</w:t>
      </w:r>
      <w:r w:rsidRPr="005F5DCD">
        <w:rPr>
          <w:lang w:val="pl-PL" w:eastAsia="hr-HR" w:bidi="hr-HR"/>
        </w:rPr>
        <w:t xml:space="preserve">ivost primarne poljoprivredne proizvodnje i bez </w:t>
      </w:r>
      <w:r w:rsidR="00DE6802">
        <w:rPr>
          <w:lang w:val="pl-PL" w:eastAsia="hr-HR" w:bidi="hr-HR"/>
        </w:rPr>
        <w:t>poticaja</w:t>
      </w:r>
      <w:r w:rsidRPr="005F5DCD">
        <w:rPr>
          <w:lang w:val="hr-HR" w:eastAsia="hr-HR" w:bidi="hr-HR"/>
        </w:rPr>
        <w:t xml:space="preserve"> </w:t>
      </w:r>
      <w:r w:rsidRPr="00F3236A">
        <w:rPr>
          <w:lang w:val="pl-PL" w:eastAsia="hr-HR" w:bidi="hr-HR"/>
        </w:rPr>
        <w:t>poljoprivredni proizvo</w:t>
      </w:r>
      <w:r w:rsidRPr="00F3236A">
        <w:rPr>
          <w:lang w:val="hr-HR" w:eastAsia="hr-HR" w:bidi="hr-HR"/>
        </w:rPr>
        <w:t>đ</w:t>
      </w:r>
      <w:r w:rsidRPr="00F3236A">
        <w:rPr>
          <w:lang w:val="pl-PL" w:eastAsia="hr-HR" w:bidi="hr-HR"/>
        </w:rPr>
        <w:t>a</w:t>
      </w:r>
      <w:r w:rsidRPr="00F3236A">
        <w:rPr>
          <w:lang w:val="hr-HR" w:eastAsia="hr-HR" w:bidi="hr-HR"/>
        </w:rPr>
        <w:t>č</w:t>
      </w:r>
      <w:r w:rsidRPr="00F3236A">
        <w:rPr>
          <w:lang w:val="pl-PL" w:eastAsia="hr-HR" w:bidi="hr-HR"/>
        </w:rPr>
        <w:t>i sa podru</w:t>
      </w:r>
      <w:r w:rsidRPr="00F3236A">
        <w:rPr>
          <w:lang w:val="hr-HR" w:eastAsia="hr-HR" w:bidi="hr-HR"/>
        </w:rPr>
        <w:t>č</w:t>
      </w:r>
      <w:r w:rsidRPr="00F3236A">
        <w:rPr>
          <w:lang w:val="pl-PL" w:eastAsia="hr-HR" w:bidi="hr-HR"/>
        </w:rPr>
        <w:t xml:space="preserve">ja </w:t>
      </w:r>
      <w:r w:rsidR="00DE6802" w:rsidRPr="00F3236A">
        <w:rPr>
          <w:lang w:val="pl-PL" w:eastAsia="hr-HR" w:bidi="hr-HR"/>
        </w:rPr>
        <w:t>o</w:t>
      </w:r>
      <w:r w:rsidRPr="00F3236A">
        <w:rPr>
          <w:lang w:val="pl-PL" w:eastAsia="hr-HR" w:bidi="hr-HR"/>
        </w:rPr>
        <w:t>p</w:t>
      </w:r>
      <w:r w:rsidRPr="00F3236A">
        <w:rPr>
          <w:lang w:val="hr-HR" w:eastAsia="hr-HR" w:bidi="hr-HR"/>
        </w:rPr>
        <w:t>ć</w:t>
      </w:r>
      <w:r w:rsidRPr="00F3236A">
        <w:rPr>
          <w:lang w:val="pl-PL" w:eastAsia="hr-HR" w:bidi="hr-HR"/>
        </w:rPr>
        <w:t>ine</w:t>
      </w:r>
      <w:r w:rsidR="00DE6802" w:rsidRPr="00F3236A">
        <w:rPr>
          <w:lang w:val="pl-PL" w:eastAsia="hr-HR" w:bidi="hr-HR"/>
        </w:rPr>
        <w:t xml:space="preserve"> Kalesija</w:t>
      </w:r>
      <w:r w:rsidRPr="00F3236A">
        <w:rPr>
          <w:lang w:val="pl-PL" w:eastAsia="hr-HR" w:bidi="hr-HR"/>
        </w:rPr>
        <w:t xml:space="preserve"> ne bi bili konkurentni na tr</w:t>
      </w:r>
      <w:r w:rsidRPr="00F3236A">
        <w:rPr>
          <w:lang w:val="hr-HR" w:eastAsia="hr-HR" w:bidi="hr-HR"/>
        </w:rPr>
        <w:t>ž</w:t>
      </w:r>
      <w:r w:rsidRPr="00F3236A">
        <w:rPr>
          <w:lang w:val="pl-PL" w:eastAsia="hr-HR" w:bidi="hr-HR"/>
        </w:rPr>
        <w:t>i</w:t>
      </w:r>
      <w:r w:rsidRPr="00F3236A">
        <w:rPr>
          <w:lang w:val="hr-HR" w:eastAsia="hr-HR" w:bidi="hr-HR"/>
        </w:rPr>
        <w:t>š</w:t>
      </w:r>
      <w:r w:rsidRPr="00F3236A">
        <w:rPr>
          <w:lang w:val="pl-PL" w:eastAsia="hr-HR" w:bidi="hr-HR"/>
        </w:rPr>
        <w:t>tu</w:t>
      </w:r>
      <w:r w:rsidRPr="00F3236A">
        <w:rPr>
          <w:lang w:val="hr-HR" w:eastAsia="hr-HR" w:bidi="hr-HR"/>
        </w:rPr>
        <w:t>.</w:t>
      </w:r>
      <w:r w:rsidR="00591E57" w:rsidRPr="00F3236A">
        <w:rPr>
          <w:lang w:val="hr-HR" w:eastAsia="hr-HR" w:bidi="hr-HR"/>
        </w:rPr>
        <w:t xml:space="preserve"> </w:t>
      </w:r>
      <w:r w:rsidR="00F3236A" w:rsidRPr="00F3236A">
        <w:rPr>
          <w:lang w:val="hr-HR" w:eastAsia="hr-HR" w:bidi="hr-HR"/>
        </w:rPr>
        <w:t xml:space="preserve">Prema podacima kojima raspolaže služba za privredu u općini Kalesija u 2016. godini registrovano je 43 obrta u poljoprivredi, što je znatno povećanje u odnosu na ranije godine. </w:t>
      </w:r>
      <w:r w:rsidR="001641D1" w:rsidRPr="00F3236A">
        <w:rPr>
          <w:lang w:val="hr-HR" w:eastAsia="hr-HR" w:bidi="hr-HR"/>
        </w:rPr>
        <w:t>Ra</w:t>
      </w:r>
      <w:r w:rsidR="00935CDB" w:rsidRPr="00F3236A">
        <w:rPr>
          <w:lang w:val="hr-HR" w:eastAsia="hr-HR" w:bidi="hr-HR"/>
        </w:rPr>
        <w:t xml:space="preserve">di daljeg unapređenja primarne poljoprivredne proizvodnje treba nastaviti sa </w:t>
      </w:r>
      <w:r w:rsidR="00591E57" w:rsidRPr="00F3236A">
        <w:rPr>
          <w:lang w:val="hr-HR" w:eastAsia="hr-HR" w:bidi="hr-HR"/>
        </w:rPr>
        <w:t>programima</w:t>
      </w:r>
      <w:r w:rsidR="00935CDB" w:rsidRPr="00F3236A">
        <w:rPr>
          <w:lang w:val="hr-HR" w:eastAsia="hr-HR" w:bidi="hr-HR"/>
        </w:rPr>
        <w:t xml:space="preserve"> direktn</w:t>
      </w:r>
      <w:r w:rsidR="00591E57" w:rsidRPr="00F3236A">
        <w:rPr>
          <w:lang w:val="hr-HR" w:eastAsia="hr-HR" w:bidi="hr-HR"/>
        </w:rPr>
        <w:t>e</w:t>
      </w:r>
      <w:r w:rsidR="00935CDB" w:rsidRPr="00F3236A">
        <w:rPr>
          <w:lang w:val="hr-HR" w:eastAsia="hr-HR" w:bidi="hr-HR"/>
        </w:rPr>
        <w:t xml:space="preserve"> novčan</w:t>
      </w:r>
      <w:r w:rsidR="00591E57" w:rsidRPr="00F3236A">
        <w:rPr>
          <w:lang w:val="hr-HR" w:eastAsia="hr-HR" w:bidi="hr-HR"/>
        </w:rPr>
        <w:t>e</w:t>
      </w:r>
      <w:r w:rsidR="00935CDB" w:rsidRPr="00F3236A">
        <w:rPr>
          <w:lang w:val="hr-HR" w:eastAsia="hr-HR" w:bidi="hr-HR"/>
        </w:rPr>
        <w:t xml:space="preserve"> podršk</w:t>
      </w:r>
      <w:r w:rsidR="00591E57" w:rsidRPr="00F3236A">
        <w:rPr>
          <w:lang w:val="hr-HR" w:eastAsia="hr-HR" w:bidi="hr-HR"/>
        </w:rPr>
        <w:t>e</w:t>
      </w:r>
      <w:r w:rsidR="00935CDB" w:rsidRPr="00F3236A">
        <w:rPr>
          <w:lang w:val="hr-HR" w:eastAsia="hr-HR" w:bidi="hr-HR"/>
        </w:rPr>
        <w:t xml:space="preserve">, </w:t>
      </w:r>
      <w:r w:rsidR="00591E57" w:rsidRPr="00F3236A">
        <w:rPr>
          <w:lang w:val="hr-HR" w:eastAsia="hr-HR" w:bidi="hr-HR"/>
        </w:rPr>
        <w:t>sa fokusom na obrte</w:t>
      </w:r>
      <w:r w:rsidR="00F3236A" w:rsidRPr="00F3236A">
        <w:rPr>
          <w:lang w:val="hr-HR" w:eastAsia="hr-HR" w:bidi="hr-HR"/>
        </w:rPr>
        <w:t xml:space="preserve">. </w:t>
      </w:r>
      <w:r w:rsidR="008B71DE">
        <w:rPr>
          <w:lang w:val="hr-HR" w:eastAsia="hr-HR" w:bidi="hr-HR"/>
        </w:rPr>
        <w:t>O</w:t>
      </w:r>
      <w:r w:rsidR="00591E57" w:rsidRPr="00E0060B">
        <w:rPr>
          <w:lang w:val="hr-HR" w:eastAsia="hr-HR" w:bidi="hr-HR"/>
        </w:rPr>
        <w:t>dnosno proizvođače koji značajnije proizvode i plasiraju svoje proizvode na tržište i kojima je to osnovna djelatnost</w:t>
      </w:r>
      <w:r w:rsidR="00AF4ED6">
        <w:rPr>
          <w:lang w:val="hr-HR" w:eastAsia="hr-HR" w:bidi="hr-HR"/>
        </w:rPr>
        <w:t xml:space="preserve">, te osigurati </w:t>
      </w:r>
      <w:r w:rsidR="00591E57" w:rsidRPr="00E0060B">
        <w:rPr>
          <w:lang w:val="hr-HR" w:eastAsia="hr-HR" w:bidi="hr-HR"/>
        </w:rPr>
        <w:t xml:space="preserve">kontinuiran inspekcijski nadzor nad provođenjem </w:t>
      </w:r>
      <w:r w:rsidR="00AF4ED6">
        <w:rPr>
          <w:lang w:val="hr-HR" w:eastAsia="hr-HR" w:bidi="hr-HR"/>
        </w:rPr>
        <w:t>i realizacijom novčanih podrški</w:t>
      </w:r>
      <w:r w:rsidR="00591E57" w:rsidRPr="00E0060B">
        <w:rPr>
          <w:lang w:val="hr-HR" w:eastAsia="hr-HR" w:bidi="hr-HR"/>
        </w:rPr>
        <w:t>.</w:t>
      </w:r>
      <w:r w:rsidR="00F3236A">
        <w:rPr>
          <w:lang w:val="hr-HR" w:eastAsia="hr-HR" w:bidi="hr-HR"/>
        </w:rPr>
        <w:t xml:space="preserve"> </w:t>
      </w:r>
    </w:p>
    <w:p w:rsidR="005E3991" w:rsidRDefault="005E3991" w:rsidP="00AD59CB">
      <w:pPr>
        <w:pStyle w:val="Heading4"/>
        <w:rPr>
          <w:lang w:val="hr-HR" w:eastAsia="ar-SA"/>
        </w:rPr>
      </w:pPr>
      <w:bookmarkStart w:id="34" w:name="_Toc500140013"/>
      <w:r w:rsidRPr="00806F89">
        <w:rPr>
          <w:lang w:val="hr-HR" w:eastAsia="ar-SA"/>
        </w:rPr>
        <w:t>Tržište rada</w:t>
      </w:r>
      <w:bookmarkEnd w:id="34"/>
    </w:p>
    <w:p w:rsidR="00FE5FA2" w:rsidRDefault="00B80D70" w:rsidP="00750FA5">
      <w:pPr>
        <w:rPr>
          <w:lang w:val="hr-HR" w:eastAsia="ar-SA"/>
        </w:rPr>
      </w:pPr>
      <w:r w:rsidRPr="005F5DCD">
        <w:rPr>
          <w:lang w:val="hr-HR" w:eastAsia="ar-SA"/>
        </w:rPr>
        <w:t>Prema zvaničnim podacima u 2016. godinu u općini Kalesija od ukupno rad</w:t>
      </w:r>
      <w:r w:rsidR="00D52806">
        <w:rPr>
          <w:lang w:val="hr-HR" w:eastAsia="ar-SA"/>
        </w:rPr>
        <w:t xml:space="preserve">no aktivnog stanovništva </w:t>
      </w:r>
      <w:r>
        <w:rPr>
          <w:lang w:val="hr-HR" w:eastAsia="ar-SA"/>
        </w:rPr>
        <w:t>(24.</w:t>
      </w:r>
      <w:r w:rsidRPr="005F5DCD">
        <w:rPr>
          <w:lang w:val="hr-HR" w:eastAsia="ar-SA"/>
        </w:rPr>
        <w:t>103)</w:t>
      </w:r>
      <w:r w:rsidR="00D52806">
        <w:rPr>
          <w:lang w:val="hr-HR" w:eastAsia="ar-SA"/>
        </w:rPr>
        <w:t xml:space="preserve">, oko </w:t>
      </w:r>
      <w:r w:rsidR="003600C0">
        <w:rPr>
          <w:lang w:val="hr-HR" w:eastAsia="ar-SA"/>
        </w:rPr>
        <w:t>37</w:t>
      </w:r>
      <w:r w:rsidR="00D52806">
        <w:rPr>
          <w:lang w:val="hr-HR" w:eastAsia="ar-SA"/>
        </w:rPr>
        <w:t>%</w:t>
      </w:r>
      <w:r w:rsidRPr="005F5DCD">
        <w:rPr>
          <w:lang w:val="hr-HR" w:eastAsia="ar-SA"/>
        </w:rPr>
        <w:t xml:space="preserve"> </w:t>
      </w:r>
      <w:r w:rsidR="003600C0" w:rsidRPr="005F5DCD">
        <w:rPr>
          <w:lang w:val="hr-HR" w:eastAsia="ar-SA"/>
        </w:rPr>
        <w:t>(8.858)</w:t>
      </w:r>
      <w:r w:rsidR="003600C0">
        <w:rPr>
          <w:lang w:val="hr-HR" w:eastAsia="ar-SA"/>
        </w:rPr>
        <w:t xml:space="preserve"> </w:t>
      </w:r>
      <w:r w:rsidRPr="005F5DCD">
        <w:rPr>
          <w:lang w:val="hr-HR" w:eastAsia="ar-SA"/>
        </w:rPr>
        <w:t xml:space="preserve">stanovništva u radnoj dobi je ekonomski </w:t>
      </w:r>
      <w:r w:rsidRPr="005F6F10">
        <w:rPr>
          <w:lang w:val="hr-HR" w:eastAsia="ar-SA"/>
        </w:rPr>
        <w:t>neaktivn</w:t>
      </w:r>
      <w:r w:rsidR="00D52806" w:rsidRPr="005F6F10">
        <w:rPr>
          <w:lang w:val="hr-HR" w:eastAsia="ar-SA"/>
        </w:rPr>
        <w:t>o</w:t>
      </w:r>
      <w:r w:rsidR="000A1429" w:rsidRPr="005F6F10">
        <w:rPr>
          <w:lang w:val="hr-HR" w:eastAsia="ar-SA"/>
        </w:rPr>
        <w:t xml:space="preserve"> (grafikon </w:t>
      </w:r>
      <w:r w:rsidR="005F6F10" w:rsidRPr="005F6F10">
        <w:rPr>
          <w:lang w:val="hr-HR" w:eastAsia="ar-SA"/>
        </w:rPr>
        <w:t>14</w:t>
      </w:r>
      <w:r w:rsidR="000A1429" w:rsidRPr="005F6F10">
        <w:rPr>
          <w:lang w:val="hr-HR" w:eastAsia="ar-SA"/>
        </w:rPr>
        <w:t>)</w:t>
      </w:r>
      <w:r w:rsidRPr="005F6F10">
        <w:rPr>
          <w:lang w:val="hr-HR" w:eastAsia="ar-SA"/>
        </w:rPr>
        <w:t xml:space="preserve">. Pod pretpostavkom da </w:t>
      </w:r>
      <w:r w:rsidR="00352EEA" w:rsidRPr="005F6F10">
        <w:rPr>
          <w:lang w:val="hr-HR" w:eastAsia="ar-SA"/>
        </w:rPr>
        <w:t xml:space="preserve">je </w:t>
      </w:r>
      <w:r w:rsidRPr="005F6F10">
        <w:rPr>
          <w:lang w:val="hr-HR" w:eastAsia="ar-SA"/>
        </w:rPr>
        <w:t>oko 3.000 stanovnika</w:t>
      </w:r>
      <w:r w:rsidR="00352EEA" w:rsidRPr="005F6F10">
        <w:rPr>
          <w:lang w:val="hr-HR" w:eastAsia="ar-SA"/>
        </w:rPr>
        <w:t>,</w:t>
      </w:r>
      <w:r w:rsidRPr="005F6F10">
        <w:rPr>
          <w:lang w:val="hr-HR" w:eastAsia="ar-SA"/>
        </w:rPr>
        <w:t xml:space="preserve"> koji spadaju u</w:t>
      </w:r>
      <w:r w:rsidRPr="005F5DCD">
        <w:rPr>
          <w:lang w:val="hr-HR" w:eastAsia="ar-SA"/>
        </w:rPr>
        <w:t xml:space="preserve"> skupinu neaktivnih</w:t>
      </w:r>
      <w:r w:rsidR="00352EEA">
        <w:rPr>
          <w:lang w:val="hr-HR" w:eastAsia="ar-SA"/>
        </w:rPr>
        <w:t>,</w:t>
      </w:r>
      <w:r w:rsidRPr="005F5DCD">
        <w:rPr>
          <w:lang w:val="hr-HR" w:eastAsia="ar-SA"/>
        </w:rPr>
        <w:t xml:space="preserve"> još u procesu obrazovanja (srednjoškolci i studenti na fakultetima), te da se oko 2.000 ljudi bavi isključivo poljoprivredom, broj stanovnika u radnoj dobi, a koji su ekonomski n</w:t>
      </w:r>
      <w:r w:rsidR="00FE5FA2">
        <w:rPr>
          <w:lang w:val="hr-HR" w:eastAsia="ar-SA"/>
        </w:rPr>
        <w:t>eaktivni</w:t>
      </w:r>
      <w:r w:rsidR="00352EEA">
        <w:rPr>
          <w:lang w:val="hr-HR" w:eastAsia="ar-SA"/>
        </w:rPr>
        <w:t>,</w:t>
      </w:r>
      <w:r w:rsidR="00564579">
        <w:rPr>
          <w:lang w:val="hr-HR" w:eastAsia="ar-SA"/>
        </w:rPr>
        <w:t xml:space="preserve"> je i dalje vrlo visok.</w:t>
      </w:r>
    </w:p>
    <w:p w:rsidR="005E3991" w:rsidRPr="005F5DCD" w:rsidRDefault="005E3991" w:rsidP="00194A79">
      <w:pPr>
        <w:pStyle w:val="Pitcures"/>
        <w:rPr>
          <w:lang w:val="hr-HR" w:eastAsia="ar-SA"/>
        </w:rPr>
      </w:pPr>
      <w:r w:rsidRPr="005F5DCD">
        <w:lastRenderedPageBreak/>
        <w:drawing>
          <wp:inline distT="0" distB="0" distL="0" distR="0" wp14:anchorId="77D842A9" wp14:editId="3E8252C4">
            <wp:extent cx="4295190" cy="2394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7484" cy="2417614"/>
                    </a:xfrm>
                    <a:prstGeom prst="rect">
                      <a:avLst/>
                    </a:prstGeom>
                    <a:solidFill>
                      <a:srgbClr val="FFFFFF"/>
                    </a:solidFill>
                    <a:ln>
                      <a:noFill/>
                    </a:ln>
                  </pic:spPr>
                </pic:pic>
              </a:graphicData>
            </a:graphic>
          </wp:inline>
        </w:drawing>
      </w:r>
    </w:p>
    <w:p w:rsidR="003364E9" w:rsidRPr="00FE5FA2" w:rsidRDefault="003364E9" w:rsidP="003364E9">
      <w:pPr>
        <w:pStyle w:val="GrafiTabele"/>
      </w:pPr>
      <w:r w:rsidRPr="004C6106">
        <w:t xml:space="preserve">Grafikon </w:t>
      </w:r>
      <w:r w:rsidR="005F6F10">
        <w:t>14</w:t>
      </w:r>
      <w:r w:rsidRPr="004C6106">
        <w:t xml:space="preserve">: </w:t>
      </w:r>
      <w:r>
        <w:t xml:space="preserve">Radno aktivno stanovništvo ( 15- 64 godine ) u FBIH u 2016. godini </w:t>
      </w:r>
    </w:p>
    <w:p w:rsidR="005E3991" w:rsidRPr="003364E9" w:rsidRDefault="003364E9" w:rsidP="003364E9">
      <w:pPr>
        <w:pStyle w:val="Izvorpodataka"/>
      </w:pPr>
      <w:r>
        <w:t>Izvor</w:t>
      </w:r>
      <w:r w:rsidR="004C6106" w:rsidRPr="003364E9">
        <w:t xml:space="preserve">: Federalni Zavod za statistiku, Saopćenje broj 14.2.1 od 31.08.2016 godine </w:t>
      </w:r>
    </w:p>
    <w:p w:rsidR="005E3991" w:rsidRPr="00FE5FA2" w:rsidRDefault="005E3991" w:rsidP="00A01D01">
      <w:pPr>
        <w:rPr>
          <w:lang w:val="hr-HR" w:eastAsia="ar-SA"/>
        </w:rPr>
      </w:pPr>
      <w:r w:rsidRPr="005F5DCD">
        <w:rPr>
          <w:lang w:val="hr-HR" w:eastAsia="ar-SA"/>
        </w:rPr>
        <w:t xml:space="preserve">Stopa participacije stanovnika u radnoj dobi kontinuirano raste u posljednjih sedam godina. Ipak, u poređenju s drugim općinama TK, participacija radne snage na području Kalesije je niska (podaci za 2016. godinu), </w:t>
      </w:r>
      <w:r w:rsidR="001D10E3">
        <w:rPr>
          <w:lang w:val="hr-HR" w:eastAsia="ar-SA"/>
        </w:rPr>
        <w:t>ali</w:t>
      </w:r>
      <w:r w:rsidRPr="005F5DCD">
        <w:rPr>
          <w:spacing w:val="-8"/>
          <w:lang w:val="hr-HR" w:eastAsia="ar-SA"/>
        </w:rPr>
        <w:t xml:space="preserve"> se ne razlikuje značajno od generalno loše situacije </w:t>
      </w:r>
      <w:r w:rsidRPr="005F6F10">
        <w:rPr>
          <w:spacing w:val="-8"/>
          <w:lang w:val="hr-HR" w:eastAsia="ar-SA"/>
        </w:rPr>
        <w:t>na tržištu rada na području Kantona</w:t>
      </w:r>
      <w:r w:rsidR="00BD1B5F" w:rsidRPr="005F6F10">
        <w:rPr>
          <w:spacing w:val="-8"/>
          <w:lang w:val="hr-HR" w:eastAsia="ar-SA"/>
        </w:rPr>
        <w:t xml:space="preserve"> (grafikon </w:t>
      </w:r>
      <w:r w:rsidR="005F6F10" w:rsidRPr="005F6F10">
        <w:rPr>
          <w:spacing w:val="-8"/>
          <w:lang w:val="hr-HR" w:eastAsia="ar-SA"/>
        </w:rPr>
        <w:t>15</w:t>
      </w:r>
      <w:r w:rsidR="00BD1B5F" w:rsidRPr="005F6F10">
        <w:rPr>
          <w:spacing w:val="-8"/>
          <w:lang w:val="hr-HR" w:eastAsia="ar-SA"/>
        </w:rPr>
        <w:t>)</w:t>
      </w:r>
      <w:r w:rsidRPr="005F6F10">
        <w:rPr>
          <w:spacing w:val="-8"/>
          <w:lang w:val="hr-HR" w:eastAsia="ar-SA"/>
        </w:rPr>
        <w:t>.</w:t>
      </w:r>
    </w:p>
    <w:p w:rsidR="005E3991" w:rsidRPr="005F5DCD" w:rsidRDefault="005E3991" w:rsidP="00194A79">
      <w:pPr>
        <w:pStyle w:val="Pitcures"/>
        <w:rPr>
          <w:lang w:val="hr-HR" w:eastAsia="ar-SA"/>
        </w:rPr>
      </w:pPr>
      <w:r w:rsidRPr="005F5DCD">
        <w:drawing>
          <wp:inline distT="0" distB="0" distL="0" distR="0" wp14:anchorId="28AE0F55" wp14:editId="388EF976">
            <wp:extent cx="4245751" cy="2551239"/>
            <wp:effectExtent l="0" t="0" r="254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b="-58"/>
                    <a:stretch>
                      <a:fillRect/>
                    </a:stretch>
                  </pic:blipFill>
                  <pic:spPr bwMode="auto">
                    <a:xfrm>
                      <a:off x="0" y="0"/>
                      <a:ext cx="4258261" cy="2558756"/>
                    </a:xfrm>
                    <a:prstGeom prst="rect">
                      <a:avLst/>
                    </a:prstGeom>
                    <a:solidFill>
                      <a:srgbClr val="FFFFFF"/>
                    </a:solidFill>
                    <a:ln>
                      <a:noFill/>
                    </a:ln>
                  </pic:spPr>
                </pic:pic>
              </a:graphicData>
            </a:graphic>
          </wp:inline>
        </w:drawing>
      </w:r>
    </w:p>
    <w:p w:rsidR="00BD1B5F" w:rsidRPr="006E7A6F" w:rsidRDefault="00BD1B5F" w:rsidP="00BD1B5F">
      <w:pPr>
        <w:pStyle w:val="GrafiTabele"/>
      </w:pPr>
      <w:r w:rsidRPr="006E7A6F">
        <w:t xml:space="preserve">Grafikon </w:t>
      </w:r>
      <w:r w:rsidR="005F6F10">
        <w:t>15</w:t>
      </w:r>
      <w:r w:rsidRPr="006E7A6F">
        <w:t xml:space="preserve">: Stepen zaposlenosti u </w:t>
      </w:r>
      <w:r w:rsidR="006D1E6E">
        <w:t>TK</w:t>
      </w:r>
      <w:r w:rsidRPr="006E7A6F">
        <w:t xml:space="preserve"> u 2016. godini </w:t>
      </w:r>
    </w:p>
    <w:p w:rsidR="00083DBA" w:rsidRPr="00BD1B5F" w:rsidRDefault="006E7A6F" w:rsidP="00BD1B5F">
      <w:pPr>
        <w:pStyle w:val="Izvorpodataka"/>
      </w:pPr>
      <w:r w:rsidRPr="00BD1B5F">
        <w:t>Izvor: Federalni zavod za statistiku</w:t>
      </w:r>
      <w:r w:rsidR="006D1E6E">
        <w:t>,</w:t>
      </w:r>
      <w:r w:rsidR="006270C8">
        <w:t xml:space="preserve"> Federalni zavod za programiranje razvoja</w:t>
      </w:r>
    </w:p>
    <w:p w:rsidR="005E3991" w:rsidRPr="00FE5FA2" w:rsidRDefault="005E3991" w:rsidP="00A01D01">
      <w:pPr>
        <w:rPr>
          <w:lang w:val="hr-HR" w:eastAsia="ar-SA"/>
        </w:rPr>
      </w:pPr>
      <w:r w:rsidRPr="005F5DCD">
        <w:rPr>
          <w:lang w:val="hr-HR" w:eastAsia="ar-SA"/>
        </w:rPr>
        <w:t>Promjena stope participacije radne snage na tržištu rada prvenstveno je poboljšan</w:t>
      </w:r>
      <w:r>
        <w:rPr>
          <w:lang w:val="hr-HR" w:eastAsia="ar-SA"/>
        </w:rPr>
        <w:t>a</w:t>
      </w:r>
      <w:r w:rsidRPr="005F5DCD">
        <w:rPr>
          <w:lang w:val="hr-HR" w:eastAsia="ar-SA"/>
        </w:rPr>
        <w:t xml:space="preserve"> smanjenjem broja registriranih nezaposlenih. Broj registriranih nezaposlenih se smanjio za oko 446 u 2016</w:t>
      </w:r>
      <w:r>
        <w:rPr>
          <w:lang w:val="hr-HR" w:eastAsia="ar-SA"/>
        </w:rPr>
        <w:t>.</w:t>
      </w:r>
      <w:r w:rsidRPr="005F5DCD">
        <w:rPr>
          <w:lang w:val="hr-HR" w:eastAsia="ar-SA"/>
        </w:rPr>
        <w:t xml:space="preserve"> u odnosu na 2015. godinu, dok se prema prikupljenim podacima broj </w:t>
      </w:r>
      <w:r w:rsidRPr="005F6F10">
        <w:rPr>
          <w:lang w:val="hr-HR" w:eastAsia="ar-SA"/>
        </w:rPr>
        <w:t>registriranih zaposlenih povećao za oko 264</w:t>
      </w:r>
      <w:r w:rsidR="007458CD" w:rsidRPr="005F6F10">
        <w:rPr>
          <w:lang w:val="hr-HR" w:eastAsia="ar-SA"/>
        </w:rPr>
        <w:t xml:space="preserve"> (grafikon </w:t>
      </w:r>
      <w:r w:rsidR="005F6F10" w:rsidRPr="005F6F10">
        <w:rPr>
          <w:lang w:val="hr-HR" w:eastAsia="ar-SA"/>
        </w:rPr>
        <w:t>16</w:t>
      </w:r>
      <w:r w:rsidR="007458CD" w:rsidRPr="005F6F10">
        <w:rPr>
          <w:lang w:val="hr-HR" w:eastAsia="ar-SA"/>
        </w:rPr>
        <w:t>)</w:t>
      </w:r>
      <w:r w:rsidRPr="005F6F10">
        <w:rPr>
          <w:lang w:val="hr-HR" w:eastAsia="ar-SA"/>
        </w:rPr>
        <w:t>.</w:t>
      </w:r>
    </w:p>
    <w:p w:rsidR="005E3991" w:rsidRPr="005F5DCD" w:rsidRDefault="008D2109" w:rsidP="00194A79">
      <w:pPr>
        <w:pStyle w:val="Pitcures"/>
        <w:rPr>
          <w:lang w:val="hr-HR" w:eastAsia="ar-SA"/>
        </w:rPr>
      </w:pPr>
      <w:r>
        <w:lastRenderedPageBreak/>
        <w:drawing>
          <wp:inline distT="0" distB="0" distL="0" distR="0" wp14:anchorId="6004E594" wp14:editId="36E84412">
            <wp:extent cx="4225539" cy="2547774"/>
            <wp:effectExtent l="0" t="0" r="381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5239" cy="2553622"/>
                    </a:xfrm>
                    <a:prstGeom prst="rect">
                      <a:avLst/>
                    </a:prstGeom>
                    <a:noFill/>
                  </pic:spPr>
                </pic:pic>
              </a:graphicData>
            </a:graphic>
          </wp:inline>
        </w:drawing>
      </w:r>
    </w:p>
    <w:p w:rsidR="007458CD" w:rsidRPr="006E7A6F" w:rsidRDefault="007458CD" w:rsidP="007458CD">
      <w:pPr>
        <w:pStyle w:val="GrafiTabele"/>
      </w:pPr>
      <w:r w:rsidRPr="006E7A6F">
        <w:t xml:space="preserve">Grafikon </w:t>
      </w:r>
      <w:r w:rsidR="005F6F10">
        <w:t>16</w:t>
      </w:r>
      <w:r w:rsidRPr="006E7A6F">
        <w:t>: Stepen zaposlenosti i nezaposlenosti u FBIH u 2016. godini</w:t>
      </w:r>
    </w:p>
    <w:p w:rsidR="006D1E6E" w:rsidRPr="00BD1B5F" w:rsidRDefault="006D1E6E" w:rsidP="006D1E6E">
      <w:pPr>
        <w:pStyle w:val="Izvorpodataka"/>
      </w:pPr>
      <w:r w:rsidRPr="00BD1B5F">
        <w:t>Izvor: Federalni zavod za statistiku</w:t>
      </w:r>
      <w:r>
        <w:t>, Federalni zavod za programiranje razvoja</w:t>
      </w:r>
    </w:p>
    <w:p w:rsidR="005E3991" w:rsidRPr="00FE5FA2" w:rsidRDefault="005E3991" w:rsidP="00A01D01">
      <w:pPr>
        <w:rPr>
          <w:lang w:val="hr-HR" w:eastAsia="ar-SA"/>
        </w:rPr>
      </w:pPr>
      <w:r w:rsidRPr="00B02322">
        <w:rPr>
          <w:lang w:val="hr-HR" w:eastAsia="ar-SA"/>
        </w:rPr>
        <w:t>Stopa registrirane nezaposlenosti je iznimno visoka i kreće se oko 68,8%</w:t>
      </w:r>
      <w:r w:rsidR="005F6F10">
        <w:rPr>
          <w:lang w:val="hr-HR" w:eastAsia="ar-SA"/>
        </w:rPr>
        <w:t xml:space="preserve"> (grafikon 17)</w:t>
      </w:r>
      <w:r w:rsidRPr="00B02322">
        <w:rPr>
          <w:lang w:val="hr-HR" w:eastAsia="ar-SA"/>
        </w:rPr>
        <w:t xml:space="preserve">. Stopa nezaposlenosti u općini Kalesija je među najvišim u TK. Prosječna stopa nezaposlenosti na području općine Kalesija je viša </w:t>
      </w:r>
      <w:r w:rsidRPr="00B02322">
        <w:rPr>
          <w:spacing w:val="-8"/>
          <w:lang w:val="hr-HR" w:eastAsia="ar-SA"/>
        </w:rPr>
        <w:t xml:space="preserve">za oko 16,8% u odnosu na prosječnu stopu registrirane nezaposlenosti TK koja je prema statističkoj evidenciji u 2016. godini iznosi 52%. </w:t>
      </w:r>
    </w:p>
    <w:p w:rsidR="005E3991" w:rsidRPr="005F5DCD" w:rsidRDefault="005E3991" w:rsidP="00194A79">
      <w:pPr>
        <w:pStyle w:val="Pitcures"/>
        <w:rPr>
          <w:lang w:val="hr-HR" w:eastAsia="ar-SA"/>
        </w:rPr>
      </w:pPr>
      <w:r w:rsidRPr="005F5DCD">
        <w:drawing>
          <wp:inline distT="0" distB="0" distL="0" distR="0" wp14:anchorId="07883033" wp14:editId="0EADB6D9">
            <wp:extent cx="4368156" cy="27520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b="-17"/>
                    <a:stretch>
                      <a:fillRect/>
                    </a:stretch>
                  </pic:blipFill>
                  <pic:spPr bwMode="auto">
                    <a:xfrm>
                      <a:off x="0" y="0"/>
                      <a:ext cx="4385424" cy="2762970"/>
                    </a:xfrm>
                    <a:prstGeom prst="rect">
                      <a:avLst/>
                    </a:prstGeom>
                    <a:solidFill>
                      <a:srgbClr val="FFFFFF"/>
                    </a:solidFill>
                    <a:ln>
                      <a:noFill/>
                    </a:ln>
                  </pic:spPr>
                </pic:pic>
              </a:graphicData>
            </a:graphic>
          </wp:inline>
        </w:drawing>
      </w:r>
    </w:p>
    <w:p w:rsidR="006D1E6E" w:rsidRPr="006E7A6F" w:rsidRDefault="006D1E6E" w:rsidP="005F6F10">
      <w:pPr>
        <w:pStyle w:val="GrafiTabele"/>
      </w:pPr>
      <w:r w:rsidRPr="006E7A6F">
        <w:t xml:space="preserve">Grafikon </w:t>
      </w:r>
      <w:r w:rsidR="005F6F10">
        <w:t>17</w:t>
      </w:r>
      <w:r w:rsidRPr="006E7A6F">
        <w:t xml:space="preserve">: Stepen nezaposlenosti u </w:t>
      </w:r>
      <w:r>
        <w:t>TK</w:t>
      </w:r>
      <w:r w:rsidRPr="006E7A6F">
        <w:t xml:space="preserve"> u 2016. godini</w:t>
      </w:r>
    </w:p>
    <w:p w:rsidR="00564579" w:rsidRPr="00BD1B5F" w:rsidRDefault="00564579" w:rsidP="005F6F10">
      <w:pPr>
        <w:pStyle w:val="Izvorpodataka"/>
      </w:pPr>
      <w:r w:rsidRPr="00BD1B5F">
        <w:t>Izvor: Federalni zavod za statistiku</w:t>
      </w:r>
      <w:r>
        <w:t>, Federalni zavod za programiranje razvoja</w:t>
      </w:r>
    </w:p>
    <w:p w:rsidR="00B02322" w:rsidRPr="00DE53FD" w:rsidRDefault="005E3991" w:rsidP="00A01D01">
      <w:pPr>
        <w:rPr>
          <w:lang w:val="hr-HR" w:eastAsia="ar-SA"/>
        </w:rPr>
      </w:pPr>
      <w:r w:rsidRPr="005F5DCD">
        <w:rPr>
          <w:lang w:val="hr-HR" w:eastAsia="ar-SA"/>
        </w:rPr>
        <w:t xml:space="preserve">Većinu nezaposlenih čini nekvalificirana radna snaga, KV radnici i radnici sa srednjom stručnom spremom. Iako u apsolutnim iznosima ove tri skupine bilježe najveći rast broja nezaposlenih u 2016. godini, u relativnim iznosima najveći rast nezaposlenosti u ovom periodu bilježe grupe sa VŠS i VSS stručnom spremom. </w:t>
      </w:r>
    </w:p>
    <w:p w:rsidR="005E3991" w:rsidRPr="00FE5FA2" w:rsidRDefault="005E3991" w:rsidP="00A01D01">
      <w:pPr>
        <w:rPr>
          <w:lang w:val="hr-HR" w:eastAsia="ar-SA"/>
        </w:rPr>
      </w:pPr>
      <w:r w:rsidRPr="005F5DCD">
        <w:rPr>
          <w:lang w:val="hr-HR" w:eastAsia="ar-SA"/>
        </w:rPr>
        <w:t xml:space="preserve">Participacija žena na tržištu rada je viša od stope participacije muškaraca. U ukupnom broju nezaposlenih </w:t>
      </w:r>
      <w:r w:rsidR="00B02322">
        <w:rPr>
          <w:lang w:val="hr-HR" w:eastAsia="ar-SA"/>
        </w:rPr>
        <w:t>(</w:t>
      </w:r>
      <w:r w:rsidRPr="005F5DCD">
        <w:rPr>
          <w:lang w:val="hr-HR" w:eastAsia="ar-SA"/>
        </w:rPr>
        <w:t>8</w:t>
      </w:r>
      <w:r w:rsidR="00B02322">
        <w:rPr>
          <w:lang w:val="hr-HR" w:eastAsia="ar-SA"/>
        </w:rPr>
        <w:t>.295) žene učestvuju sa 54.9% (</w:t>
      </w:r>
      <w:r w:rsidRPr="005F5DCD">
        <w:rPr>
          <w:lang w:val="hr-HR" w:eastAsia="ar-SA"/>
        </w:rPr>
        <w:t>4.556</w:t>
      </w:r>
      <w:r w:rsidR="00B02322">
        <w:rPr>
          <w:lang w:val="hr-HR" w:eastAsia="ar-SA"/>
        </w:rPr>
        <w:t>)</w:t>
      </w:r>
      <w:r w:rsidRPr="005F5DCD">
        <w:rPr>
          <w:lang w:val="hr-HR" w:eastAsia="ar-SA"/>
        </w:rPr>
        <w:t>. Ako analiziramo kvalifikacijsku i spolnu strukturu nezaposlenih, vidimo da je skoro duplo veći broj nezaposlenih muškaraca nego ž</w:t>
      </w:r>
      <w:r w:rsidR="00B02322">
        <w:rPr>
          <w:lang w:val="hr-HR" w:eastAsia="ar-SA"/>
        </w:rPr>
        <w:t>ena u skupini NKV i KV radnika (</w:t>
      </w:r>
      <w:r w:rsidRPr="005F5DCD">
        <w:rPr>
          <w:lang w:val="hr-HR" w:eastAsia="ar-SA"/>
        </w:rPr>
        <w:t>ukupno nezaposlenih NKV 3</w:t>
      </w:r>
      <w:r w:rsidR="00B02322">
        <w:rPr>
          <w:lang w:val="hr-HR" w:eastAsia="ar-SA"/>
        </w:rPr>
        <w:t>.</w:t>
      </w:r>
      <w:r w:rsidRPr="005F5DCD">
        <w:rPr>
          <w:lang w:val="hr-HR" w:eastAsia="ar-SA"/>
        </w:rPr>
        <w:t>093</w:t>
      </w:r>
      <w:r w:rsidR="00B02322">
        <w:rPr>
          <w:lang w:val="hr-HR" w:eastAsia="ar-SA"/>
        </w:rPr>
        <w:t xml:space="preserve">; od toga </w:t>
      </w:r>
      <w:r w:rsidR="00B35766">
        <w:rPr>
          <w:lang w:val="hr-HR" w:eastAsia="ar-SA"/>
        </w:rPr>
        <w:t>je 1784</w:t>
      </w:r>
      <w:r w:rsidR="00145239">
        <w:rPr>
          <w:lang w:val="hr-HR" w:eastAsia="ar-SA"/>
        </w:rPr>
        <w:t xml:space="preserve"> ili oko 58%</w:t>
      </w:r>
      <w:r w:rsidR="00B35766">
        <w:rPr>
          <w:lang w:val="hr-HR" w:eastAsia="ar-SA"/>
        </w:rPr>
        <w:t xml:space="preserve"> </w:t>
      </w:r>
      <w:r w:rsidRPr="005F5DCD">
        <w:rPr>
          <w:lang w:val="hr-HR" w:eastAsia="ar-SA"/>
        </w:rPr>
        <w:t>nezaposlenih žena</w:t>
      </w:r>
      <w:r w:rsidR="00B02322">
        <w:rPr>
          <w:lang w:val="hr-HR" w:eastAsia="ar-SA"/>
        </w:rPr>
        <w:t>)</w:t>
      </w:r>
      <w:r w:rsidRPr="005F5DCD">
        <w:rPr>
          <w:lang w:val="hr-HR" w:eastAsia="ar-SA"/>
        </w:rPr>
        <w:t xml:space="preserve">. </w:t>
      </w:r>
      <w:r w:rsidR="00B35766">
        <w:rPr>
          <w:lang w:val="hr-HR" w:eastAsia="ar-SA"/>
        </w:rPr>
        <w:t>U</w:t>
      </w:r>
      <w:r w:rsidRPr="005F5DCD">
        <w:rPr>
          <w:lang w:val="hr-HR" w:eastAsia="ar-SA"/>
        </w:rPr>
        <w:t xml:space="preserve"> skupin</w:t>
      </w:r>
      <w:r w:rsidR="00B35766">
        <w:rPr>
          <w:lang w:val="hr-HR" w:eastAsia="ar-SA"/>
        </w:rPr>
        <w:t>ama</w:t>
      </w:r>
      <w:r w:rsidRPr="005F5DCD">
        <w:rPr>
          <w:lang w:val="hr-HR" w:eastAsia="ar-SA"/>
        </w:rPr>
        <w:t xml:space="preserve"> </w:t>
      </w:r>
      <w:r w:rsidRPr="005F5DCD">
        <w:rPr>
          <w:lang w:val="hr-HR" w:eastAsia="ar-SA"/>
        </w:rPr>
        <w:lastRenderedPageBreak/>
        <w:t xml:space="preserve">nezaposlenih radnika s većim stepenom obrazovanja broj nezaposlenih žena je veći od broja nezaposlenih muškaraca. </w:t>
      </w:r>
    </w:p>
    <w:p w:rsidR="005E3991" w:rsidRDefault="00385AD8" w:rsidP="00A01D01">
      <w:pPr>
        <w:rPr>
          <w:lang w:val="hr-HR" w:eastAsia="ar-SA"/>
        </w:rPr>
      </w:pPr>
      <w:r>
        <w:rPr>
          <w:lang w:val="hr-HR" w:eastAsia="ar-SA"/>
        </w:rPr>
        <w:t>Kada je u pitanju starosna struktura nezaposlenih, u</w:t>
      </w:r>
      <w:r w:rsidR="005E3991" w:rsidRPr="005F5DCD">
        <w:rPr>
          <w:lang w:val="hr-HR" w:eastAsia="ar-SA"/>
        </w:rPr>
        <w:t xml:space="preserve"> apsolutnim iznosima najveći broj nezaposlenih je u dvije starosne skupine mladih (</w:t>
      </w:r>
      <w:r w:rsidR="000628D1">
        <w:rPr>
          <w:lang w:val="hr-HR" w:eastAsia="ar-SA"/>
        </w:rPr>
        <w:t>skupina</w:t>
      </w:r>
      <w:r w:rsidR="005E3991" w:rsidRPr="005F5DCD">
        <w:rPr>
          <w:lang w:val="hr-HR" w:eastAsia="ar-SA"/>
        </w:rPr>
        <w:t xml:space="preserve"> 19</w:t>
      </w:r>
      <w:r w:rsidR="000628D1">
        <w:rPr>
          <w:lang w:val="hr-HR" w:eastAsia="ar-SA"/>
        </w:rPr>
        <w:t>-</w:t>
      </w:r>
      <w:r w:rsidR="005E3991" w:rsidRPr="005F5DCD">
        <w:rPr>
          <w:lang w:val="hr-HR" w:eastAsia="ar-SA"/>
        </w:rPr>
        <w:t>24 godine starosti i 25</w:t>
      </w:r>
      <w:r w:rsidR="000628D1">
        <w:rPr>
          <w:lang w:val="hr-HR" w:eastAsia="ar-SA"/>
        </w:rPr>
        <w:t>-</w:t>
      </w:r>
      <w:r w:rsidR="005E3991" w:rsidRPr="005F5DCD">
        <w:rPr>
          <w:lang w:val="hr-HR" w:eastAsia="ar-SA"/>
        </w:rPr>
        <w:t xml:space="preserve">30 godina starosti). Dok kod starosne grupe od 19 do 24 godine starosti imamo smanjenje broja nezaposlenih u odnosu na 2003. godinu, za skoro isti broj se povećao broj nezaposlenih u starosnoj skupini od 25 do 30 godina starosti. Ovo ukazuje na nemogućnost pronalaženja zaposlenja i dugoročnu nezaposlenost mladih ljudi. </w:t>
      </w:r>
    </w:p>
    <w:p w:rsidR="00790403" w:rsidRDefault="005E3991" w:rsidP="00A01D01">
      <w:pPr>
        <w:rPr>
          <w:lang w:val="hr-HR" w:eastAsia="ar-SA"/>
        </w:rPr>
      </w:pPr>
      <w:r w:rsidRPr="005F5DCD">
        <w:rPr>
          <w:lang w:val="hr-HR" w:eastAsia="ar-SA"/>
        </w:rPr>
        <w:t>Broj registriranih nezaposlenih muškaraca je veći od broja registriranih nezaposlenih žena u svakoj od starosnih skupina. Ovo ukazuje da je stopa participacije žena na tržištu rada jednako niska, nevezano za starosnu dob. Međutim, kao što smo vidjeli stopa participacije žena na tržištu rada, prvenstveno ovisi od njihove kvalifikacijske strukture, i žene s višim stepenom obrazovanja se aktiv</w:t>
      </w:r>
      <w:r>
        <w:rPr>
          <w:lang w:val="hr-HR" w:eastAsia="ar-SA"/>
        </w:rPr>
        <w:t>nije uključjuju u tržište rada.</w:t>
      </w:r>
    </w:p>
    <w:p w:rsidR="00790403" w:rsidRPr="00DE53FD" w:rsidRDefault="00790403" w:rsidP="00A01D01">
      <w:pPr>
        <w:rPr>
          <w:lang w:val="hr-HR" w:eastAsia="ar-SA"/>
        </w:rPr>
      </w:pPr>
      <w:r w:rsidRPr="00790403">
        <w:rPr>
          <w:lang w:val="hr-HR" w:eastAsia="ar-SA"/>
        </w:rPr>
        <w:t xml:space="preserve">Najveći broj nezaposlenih (94%) su dugoročno nezaposleni, tj. </w:t>
      </w:r>
      <w:r>
        <w:rPr>
          <w:lang w:val="hr-HR" w:eastAsia="ar-SA"/>
        </w:rPr>
        <w:t>t</w:t>
      </w:r>
      <w:r w:rsidRPr="00790403">
        <w:rPr>
          <w:lang w:val="hr-HR" w:eastAsia="ar-SA"/>
        </w:rPr>
        <w:t>rajanj</w:t>
      </w:r>
      <w:r>
        <w:rPr>
          <w:lang w:val="hr-HR" w:eastAsia="ar-SA"/>
        </w:rPr>
        <w:t>e</w:t>
      </w:r>
      <w:r w:rsidRPr="00790403">
        <w:rPr>
          <w:lang w:val="hr-HR" w:eastAsia="ar-SA"/>
        </w:rPr>
        <w:t xml:space="preserve"> njihove nezaposlenosti je duže od 6 mjeseci. Međutim 61% od svih nezaposlenih su nezaposleni </w:t>
      </w:r>
      <w:r>
        <w:rPr>
          <w:lang w:val="hr-HR" w:eastAsia="ar-SA"/>
        </w:rPr>
        <w:t xml:space="preserve">u </w:t>
      </w:r>
      <w:r w:rsidRPr="005F6F10">
        <w:rPr>
          <w:lang w:val="hr-HR" w:eastAsia="ar-SA"/>
        </w:rPr>
        <w:t>periodu dužem od 5 godina</w:t>
      </w:r>
      <w:r w:rsidR="000628D1" w:rsidRPr="005F6F10">
        <w:rPr>
          <w:lang w:val="hr-HR" w:eastAsia="ar-SA"/>
        </w:rPr>
        <w:t xml:space="preserve"> (grafikon </w:t>
      </w:r>
      <w:r w:rsidR="005F6F10" w:rsidRPr="005F6F10">
        <w:rPr>
          <w:lang w:val="hr-HR" w:eastAsia="ar-SA"/>
        </w:rPr>
        <w:t>18</w:t>
      </w:r>
      <w:r w:rsidR="000628D1" w:rsidRPr="005F6F10">
        <w:rPr>
          <w:lang w:val="hr-HR" w:eastAsia="ar-SA"/>
        </w:rPr>
        <w:t>)</w:t>
      </w:r>
      <w:r w:rsidRPr="005F6F10">
        <w:rPr>
          <w:lang w:val="hr-HR" w:eastAsia="ar-SA"/>
        </w:rPr>
        <w:t xml:space="preserve">. </w:t>
      </w:r>
      <w:r w:rsidR="000628D1" w:rsidRPr="005F6F10">
        <w:rPr>
          <w:rFonts w:eastAsia="Times New Roman"/>
          <w:lang w:val="hr-HR" w:eastAsia="ar-SA"/>
        </w:rPr>
        <w:t>Broj nezaposlenih muškaraca značajno je veći od</w:t>
      </w:r>
      <w:r w:rsidR="000628D1" w:rsidRPr="005F5DCD">
        <w:rPr>
          <w:rFonts w:eastAsia="Times New Roman"/>
          <w:lang w:val="hr-HR" w:eastAsia="ar-SA"/>
        </w:rPr>
        <w:t xml:space="preserve"> broja nezaposlenih žena u svakoj od skupina koja se odnosi na dužinu čekanja na zaposlenje. U biti nema razlike u dužini čekanja na zaposlenje između žena i muškaraca, jer procentualno učešće žena u svakoj od gore prikazanih skupina odgovara općoj stopi participacije žena na tržištu rada od 38%.</w:t>
      </w:r>
    </w:p>
    <w:p w:rsidR="005E3991" w:rsidRPr="005F5DCD" w:rsidRDefault="005E3991" w:rsidP="00194A79">
      <w:pPr>
        <w:pStyle w:val="Pitcures"/>
        <w:rPr>
          <w:lang w:val="hr-HR" w:eastAsia="ar-SA"/>
        </w:rPr>
      </w:pPr>
      <w:r w:rsidRPr="005F5DCD">
        <w:drawing>
          <wp:inline distT="0" distB="0" distL="0" distR="0" wp14:anchorId="394C5DA7" wp14:editId="41B199B3">
            <wp:extent cx="3936909" cy="265070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b="-87"/>
                    <a:stretch>
                      <a:fillRect/>
                    </a:stretch>
                  </pic:blipFill>
                  <pic:spPr bwMode="auto">
                    <a:xfrm>
                      <a:off x="0" y="0"/>
                      <a:ext cx="3962508" cy="2667938"/>
                    </a:xfrm>
                    <a:prstGeom prst="rect">
                      <a:avLst/>
                    </a:prstGeom>
                    <a:solidFill>
                      <a:srgbClr val="FFFFFF"/>
                    </a:solidFill>
                    <a:ln>
                      <a:noFill/>
                    </a:ln>
                  </pic:spPr>
                </pic:pic>
              </a:graphicData>
            </a:graphic>
          </wp:inline>
        </w:drawing>
      </w:r>
    </w:p>
    <w:p w:rsidR="00F651A4" w:rsidRPr="00FE5FA2" w:rsidRDefault="00F651A4" w:rsidP="005F6F10">
      <w:pPr>
        <w:pStyle w:val="GrafiTabele"/>
      </w:pPr>
      <w:r w:rsidRPr="002B6E7B">
        <w:t xml:space="preserve">Grafikon </w:t>
      </w:r>
      <w:r w:rsidR="005F6F10">
        <w:t>18</w:t>
      </w:r>
      <w:r w:rsidRPr="002B6E7B">
        <w:t>:</w:t>
      </w:r>
      <w:r>
        <w:t xml:space="preserve"> Dužina čekanje za zaposlenje u općini Kalesija 2017</w:t>
      </w:r>
    </w:p>
    <w:p w:rsidR="005E3991" w:rsidRPr="005F5DCD" w:rsidRDefault="00BC7C4C" w:rsidP="00092E44">
      <w:pPr>
        <w:pStyle w:val="Izvorpodataka"/>
      </w:pPr>
      <w:r w:rsidRPr="00F651A4">
        <w:t>Izvor:</w:t>
      </w:r>
      <w:r w:rsidR="001A274E" w:rsidRPr="00F651A4">
        <w:t xml:space="preserve"> Z</w:t>
      </w:r>
      <w:r w:rsidR="00092E44">
        <w:t xml:space="preserve">avod za zaposljavanje Kalesija </w:t>
      </w:r>
    </w:p>
    <w:p w:rsidR="00997EF8" w:rsidRPr="00883898" w:rsidRDefault="00997EF8" w:rsidP="00AD59CB">
      <w:pPr>
        <w:pStyle w:val="Heading4"/>
      </w:pPr>
      <w:bookmarkStart w:id="35" w:name="_Toc500140014"/>
      <w:r w:rsidRPr="00883898">
        <w:t>Turizam</w:t>
      </w:r>
      <w:bookmarkEnd w:id="35"/>
    </w:p>
    <w:p w:rsidR="00E71384" w:rsidRDefault="00E71384" w:rsidP="00750FA5">
      <w:pPr>
        <w:spacing w:after="0"/>
        <w:rPr>
          <w:szCs w:val="24"/>
        </w:rPr>
      </w:pPr>
      <w:r>
        <w:rPr>
          <w:szCs w:val="24"/>
        </w:rPr>
        <w:t xml:space="preserve">U oblasti turizma općina Kalesija nema razvijenu infrastrukturu i turističke proizvode, ali postoji potencijal za promociju kulturno-historijskog naslijeđa. </w:t>
      </w:r>
      <w:r w:rsidRPr="00997EF8">
        <w:rPr>
          <w:szCs w:val="24"/>
        </w:rPr>
        <w:t>Kao turističku ponudu Kalesija može predstaviti veliki broj stećaka smještenih u Bulatovcima, nekropola stećaka „Brkića groblje“, nekropola stećaka lokalitet „Mramor“, Bašča (Bukvari), nekropola u pravolsavnom groblju u Dubnici, kao i druge lokacije na ši</w:t>
      </w:r>
      <w:r>
        <w:rPr>
          <w:szCs w:val="24"/>
        </w:rPr>
        <w:t>rem području Kalesije. Značajni objekti kulturno-historijskog naslijeđa su</w:t>
      </w:r>
      <w:r w:rsidRPr="00997EF8">
        <w:rPr>
          <w:szCs w:val="24"/>
        </w:rPr>
        <w:t xml:space="preserve"> Atik džamija u Ćivama</w:t>
      </w:r>
      <w:r>
        <w:rPr>
          <w:szCs w:val="24"/>
        </w:rPr>
        <w:t>,</w:t>
      </w:r>
      <w:r w:rsidRPr="00997EF8">
        <w:rPr>
          <w:szCs w:val="24"/>
        </w:rPr>
        <w:t xml:space="preserve"> koja je sagrađena prije više od 300 godina, i džamija u Hemlijašima. Kao turistički potencijal Kalesija može ponuditi i ostatke prahistorijske gradine i kasnoantičkog utvrđenja u Jajićima, a također i jednu od najstarijih Bosanskih kuća koja je smještena u naselju Džafiću (Donje Vukovije), u čijo</w:t>
      </w:r>
      <w:r>
        <w:rPr>
          <w:szCs w:val="24"/>
        </w:rPr>
        <w:t xml:space="preserve">j blizini se održava </w:t>
      </w:r>
      <w:r w:rsidRPr="00997EF8">
        <w:rPr>
          <w:szCs w:val="24"/>
        </w:rPr>
        <w:t>Kalesijska likovna kolonija. Kada su u pitanju smještajni kapaciteti Kalesija posjeduje tri motela sa 47 soba</w:t>
      </w:r>
      <w:r>
        <w:rPr>
          <w:rFonts w:ascii="Arial" w:hAnsi="Arial" w:cs="Arial"/>
          <w:szCs w:val="24"/>
        </w:rPr>
        <w:t xml:space="preserve">. </w:t>
      </w:r>
      <w:r w:rsidR="00134257" w:rsidRPr="009B08DD">
        <w:rPr>
          <w:szCs w:val="24"/>
        </w:rPr>
        <w:t xml:space="preserve">Ulaganje u turističke objekte u Kalesiji je itekako potrebno s obzirom da po </w:t>
      </w:r>
      <w:r w:rsidR="00DC7CBB" w:rsidRPr="009B08DD">
        <w:rPr>
          <w:szCs w:val="24"/>
        </w:rPr>
        <w:t xml:space="preserve">je </w:t>
      </w:r>
      <w:r w:rsidR="00134257" w:rsidRPr="009B08DD">
        <w:rPr>
          <w:szCs w:val="24"/>
        </w:rPr>
        <w:t xml:space="preserve">smještajnim kapacitetima </w:t>
      </w:r>
      <w:r w:rsidR="00DC7CBB" w:rsidRPr="009B08DD">
        <w:rPr>
          <w:szCs w:val="24"/>
        </w:rPr>
        <w:t>općina na</w:t>
      </w:r>
      <w:r w:rsidR="00134257" w:rsidRPr="009B08DD">
        <w:rPr>
          <w:szCs w:val="24"/>
        </w:rPr>
        <w:t xml:space="preserve"> samom dnu u odnosu na ostale općine u Tuzlanskom kantonu. U centru grada ne </w:t>
      </w:r>
      <w:r w:rsidR="00134257" w:rsidRPr="009B08DD">
        <w:rPr>
          <w:szCs w:val="24"/>
        </w:rPr>
        <w:lastRenderedPageBreak/>
        <w:t>postoji hotelski smještaj, što bi se u budućnosti trebalo riješiti. Prema podacima Turističke zajednice Tuzlanskog kantona u 2016. godi</w:t>
      </w:r>
      <w:r w:rsidR="009B08DD" w:rsidRPr="009B08DD">
        <w:rPr>
          <w:szCs w:val="24"/>
        </w:rPr>
        <w:t>ni ukupno je na području našeg K</w:t>
      </w:r>
      <w:r w:rsidR="00134257" w:rsidRPr="009B08DD">
        <w:rPr>
          <w:szCs w:val="24"/>
        </w:rPr>
        <w:t>antona ostvareno 128,229 noćenja od čega u Kalesiji ispod 4%.</w:t>
      </w:r>
    </w:p>
    <w:p w:rsidR="009B08DD" w:rsidRPr="00134257" w:rsidRDefault="009B08DD" w:rsidP="00750FA5">
      <w:pPr>
        <w:spacing w:after="0"/>
        <w:rPr>
          <w:szCs w:val="24"/>
        </w:rPr>
      </w:pPr>
    </w:p>
    <w:p w:rsidR="00997EF8" w:rsidRPr="00997EF8" w:rsidRDefault="00997EF8" w:rsidP="00A01D01">
      <w:pPr>
        <w:rPr>
          <w:szCs w:val="24"/>
        </w:rPr>
      </w:pPr>
      <w:r w:rsidRPr="00997EF8">
        <w:rPr>
          <w:szCs w:val="24"/>
        </w:rPr>
        <w:t>Na području općine Kalesija, na osnovu postojećih i planiranih zaštićenih prirodnih područja i prir</w:t>
      </w:r>
      <w:r w:rsidR="00E71384">
        <w:rPr>
          <w:szCs w:val="24"/>
        </w:rPr>
        <w:t>odnih objekata, stanja kulturno-historijskih dobara, sportsko-</w:t>
      </w:r>
      <w:r w:rsidRPr="00997EF8">
        <w:rPr>
          <w:szCs w:val="24"/>
        </w:rPr>
        <w:t>rekreativnih zona, te opremljenosti područja infrastrukturnim sistemima, može se planirati pet turističkih zona:</w:t>
      </w:r>
    </w:p>
    <w:p w:rsidR="00997EF8" w:rsidRPr="00E71384" w:rsidRDefault="00997EF8" w:rsidP="001B6DF3">
      <w:pPr>
        <w:pStyle w:val="ListParagraph"/>
        <w:numPr>
          <w:ilvl w:val="0"/>
          <w:numId w:val="16"/>
        </w:numPr>
      </w:pPr>
      <w:r w:rsidRPr="00E71384">
        <w:t>Turistička zona „Pje</w:t>
      </w:r>
      <w:r w:rsidR="00E71384">
        <w:t>šavica“ , pogodna za sportsko-</w:t>
      </w:r>
      <w:r w:rsidRPr="00E71384">
        <w:t>rekreativni i izletnički turizam,</w:t>
      </w:r>
    </w:p>
    <w:p w:rsidR="00997EF8" w:rsidRPr="00E71384" w:rsidRDefault="00997EF8" w:rsidP="001B6DF3">
      <w:pPr>
        <w:pStyle w:val="ListParagraph"/>
        <w:numPr>
          <w:ilvl w:val="0"/>
          <w:numId w:val="16"/>
        </w:numPr>
      </w:pPr>
      <w:r w:rsidRPr="00E71384">
        <w:t>Turistička zo</w:t>
      </w:r>
      <w:r w:rsidR="00E71384">
        <w:t>na „Vis“, pogodna za sportsko-</w:t>
      </w:r>
      <w:r w:rsidRPr="00E71384">
        <w:t>rekreativni i izletnički turizam,</w:t>
      </w:r>
    </w:p>
    <w:p w:rsidR="00997EF8" w:rsidRPr="00E71384" w:rsidRDefault="00997EF8" w:rsidP="001B6DF3">
      <w:pPr>
        <w:pStyle w:val="ListParagraph"/>
        <w:numPr>
          <w:ilvl w:val="0"/>
          <w:numId w:val="16"/>
        </w:numPr>
      </w:pPr>
      <w:r w:rsidRPr="00E71384">
        <w:t xml:space="preserve">Turistička zona </w:t>
      </w:r>
      <w:r w:rsidR="00E71384">
        <w:t>„Grabik“, pogodna za sportsko-</w:t>
      </w:r>
      <w:r w:rsidRPr="00E71384">
        <w:t>rekreativni i izletnički turizam,</w:t>
      </w:r>
    </w:p>
    <w:p w:rsidR="00997EF8" w:rsidRPr="00E71384" w:rsidRDefault="00E71384" w:rsidP="001B6DF3">
      <w:pPr>
        <w:pStyle w:val="ListParagraph"/>
        <w:numPr>
          <w:ilvl w:val="0"/>
          <w:numId w:val="16"/>
        </w:numPr>
      </w:pPr>
      <w:r>
        <w:t>Sportsko-</w:t>
      </w:r>
      <w:r w:rsidR="00997EF8" w:rsidRPr="00E71384">
        <w:t>rekreativni centar</w:t>
      </w:r>
      <w:r>
        <w:t xml:space="preserve"> „Jezera“,</w:t>
      </w:r>
      <w:r w:rsidR="00464272">
        <w:t xml:space="preserve"> </w:t>
      </w:r>
      <w:r>
        <w:t>pogoda</w:t>
      </w:r>
      <w:r w:rsidR="00464272">
        <w:t>n</w:t>
      </w:r>
      <w:r>
        <w:t xml:space="preserve"> za sportsko-</w:t>
      </w:r>
      <w:r w:rsidR="00997EF8" w:rsidRPr="00E71384">
        <w:t>rekreativni i izletnički turizam,</w:t>
      </w:r>
    </w:p>
    <w:p w:rsidR="00997EF8" w:rsidRPr="00E71384" w:rsidRDefault="00E71384" w:rsidP="001B6DF3">
      <w:pPr>
        <w:pStyle w:val="ListParagraph"/>
        <w:numPr>
          <w:ilvl w:val="0"/>
          <w:numId w:val="16"/>
        </w:numPr>
      </w:pPr>
      <w:r>
        <w:t>Sportsko-</w:t>
      </w:r>
      <w:r w:rsidR="00997EF8" w:rsidRPr="00E71384">
        <w:t>rekreativni centar „Joković</w:t>
      </w:r>
      <w:r>
        <w:t>a potok“, pogodan za sportsko-</w:t>
      </w:r>
      <w:r w:rsidR="00997EF8" w:rsidRPr="00E71384">
        <w:t>rekreativni i izletnički turizam.</w:t>
      </w:r>
      <w:r w:rsidR="00464272">
        <w:t xml:space="preserve"> </w:t>
      </w:r>
    </w:p>
    <w:p w:rsidR="00B02322" w:rsidRPr="00092E44" w:rsidRDefault="00997EF8" w:rsidP="00A01D01">
      <w:pPr>
        <w:rPr>
          <w:szCs w:val="24"/>
        </w:rPr>
      </w:pPr>
      <w:r w:rsidRPr="00997EF8">
        <w:rPr>
          <w:szCs w:val="24"/>
        </w:rPr>
        <w:t>Za navedene lokalitete predviđena je izrada Zoning planova, kojim</w:t>
      </w:r>
      <w:r w:rsidR="00464272">
        <w:rPr>
          <w:szCs w:val="24"/>
        </w:rPr>
        <w:t>a će se definisati</w:t>
      </w:r>
      <w:r w:rsidRPr="00997EF8">
        <w:rPr>
          <w:szCs w:val="24"/>
        </w:rPr>
        <w:t xml:space="preserve"> detaljna namjena površina.</w:t>
      </w:r>
      <w:r w:rsidRPr="00997EF8">
        <w:t xml:space="preserve"> </w:t>
      </w:r>
    </w:p>
    <w:p w:rsidR="00BC2C19" w:rsidRPr="00DE53FD" w:rsidRDefault="00BC2C19" w:rsidP="00AD59CB">
      <w:pPr>
        <w:pStyle w:val="Heading3"/>
      </w:pPr>
      <w:bookmarkStart w:id="36" w:name="_Toc491379766"/>
      <w:bookmarkStart w:id="37" w:name="_Toc500140015"/>
      <w:r>
        <w:t>IV1.4. Društveni razvoj</w:t>
      </w:r>
      <w:bookmarkEnd w:id="36"/>
      <w:bookmarkEnd w:id="37"/>
    </w:p>
    <w:p w:rsidR="00BC2C19" w:rsidRPr="00BC2C19" w:rsidRDefault="00BC2C19" w:rsidP="00AD59CB">
      <w:pPr>
        <w:pStyle w:val="Heading4"/>
        <w:rPr>
          <w:lang w:val="hr-HR"/>
        </w:rPr>
      </w:pPr>
      <w:bookmarkStart w:id="38" w:name="_Toc500140016"/>
      <w:r w:rsidRPr="00BC2C19">
        <w:rPr>
          <w:lang w:val="hr-HR"/>
        </w:rPr>
        <w:t>Općinska uprava</w:t>
      </w:r>
      <w:bookmarkEnd w:id="38"/>
    </w:p>
    <w:p w:rsidR="00BC2C19" w:rsidRPr="009D7BAD" w:rsidRDefault="00BC2C19" w:rsidP="00750FA5">
      <w:pPr>
        <w:rPr>
          <w:lang w:val="hr-HR"/>
        </w:rPr>
      </w:pPr>
      <w:r>
        <w:rPr>
          <w:iCs/>
          <w:lang w:val="hr-HR"/>
        </w:rPr>
        <w:t xml:space="preserve">Organ odlučivanja i kreiranja politike lokalne samouprave u </w:t>
      </w:r>
      <w:r w:rsidR="00E67388">
        <w:rPr>
          <w:iCs/>
          <w:lang w:val="hr-HR"/>
        </w:rPr>
        <w:t xml:space="preserve">općini </w:t>
      </w:r>
      <w:r>
        <w:rPr>
          <w:iCs/>
          <w:lang w:val="hr-HR"/>
        </w:rPr>
        <w:t>Kalesij</w:t>
      </w:r>
      <w:r w:rsidR="00E67388">
        <w:rPr>
          <w:iCs/>
          <w:lang w:val="hr-HR"/>
        </w:rPr>
        <w:t>a</w:t>
      </w:r>
      <w:r>
        <w:rPr>
          <w:iCs/>
          <w:lang w:val="hr-HR"/>
        </w:rPr>
        <w:t xml:space="preserve"> je Općinsko vijeće (OV), </w:t>
      </w:r>
      <w:r w:rsidR="00E67388">
        <w:rPr>
          <w:iCs/>
          <w:lang w:val="hr-HR"/>
        </w:rPr>
        <w:t xml:space="preserve">koje </w:t>
      </w:r>
      <w:r w:rsidRPr="00233BA2">
        <w:rPr>
          <w:iCs/>
          <w:lang w:val="hr-HR"/>
        </w:rPr>
        <w:t xml:space="preserve">čini </w:t>
      </w:r>
      <w:r w:rsidRPr="00233BA2">
        <w:rPr>
          <w:lang w:val="hr-HR"/>
        </w:rPr>
        <w:t>27 vijećnika. U Općinskom vijeću</w:t>
      </w:r>
      <w:r w:rsidR="00233BA2" w:rsidRPr="00233BA2">
        <w:rPr>
          <w:lang w:val="hr-HR"/>
        </w:rPr>
        <w:t>, u</w:t>
      </w:r>
      <w:r w:rsidR="002C4EE5" w:rsidRPr="00233BA2">
        <w:rPr>
          <w:lang w:val="hr-HR"/>
        </w:rPr>
        <w:t xml:space="preserve"> mandat</w:t>
      </w:r>
      <w:r w:rsidR="00233BA2" w:rsidRPr="00233BA2">
        <w:rPr>
          <w:lang w:val="hr-HR"/>
        </w:rPr>
        <w:t>u</w:t>
      </w:r>
      <w:r w:rsidR="002C4EE5" w:rsidRPr="00233BA2">
        <w:rPr>
          <w:lang w:val="hr-HR"/>
        </w:rPr>
        <w:t xml:space="preserve"> 2016-20</w:t>
      </w:r>
      <w:r w:rsidR="00233BA2" w:rsidRPr="00233BA2">
        <w:rPr>
          <w:lang w:val="hr-HR"/>
        </w:rPr>
        <w:t>20,</w:t>
      </w:r>
      <w:r w:rsidRPr="00233BA2">
        <w:rPr>
          <w:lang w:val="hr-HR"/>
        </w:rPr>
        <w:t xml:space="preserve"> učestvuju: Stra</w:t>
      </w:r>
      <w:r w:rsidR="009F4635" w:rsidRPr="00233BA2">
        <w:rPr>
          <w:lang w:val="hr-HR"/>
        </w:rPr>
        <w:t>nka demokratske akcije</w:t>
      </w:r>
      <w:r w:rsidR="009F4635">
        <w:rPr>
          <w:lang w:val="hr-HR"/>
        </w:rPr>
        <w:t xml:space="preserve"> (SDA) s 5</w:t>
      </w:r>
      <w:r>
        <w:rPr>
          <w:lang w:val="hr-HR"/>
        </w:rPr>
        <w:t xml:space="preserve"> vijećnika, Stranka za BiH (SBiH) s 3 vijećnika, Socijaldemokratska partija (SDP) s 4 vijećnika, Građanska demokratska stranka (GDS) s 3 vijećnika, Nezavisn</w:t>
      </w:r>
      <w:r w:rsidR="009F4635">
        <w:rPr>
          <w:lang w:val="hr-HR"/>
        </w:rPr>
        <w:t>a lista Sead Džafić (NLSDž) sa 5</w:t>
      </w:r>
      <w:r>
        <w:rPr>
          <w:lang w:val="hr-HR"/>
        </w:rPr>
        <w:t xml:space="preserve"> vijećnika, Bosanska patriotska stranka (BPS) sa 3 vijećnika, Savez za bolju budućnost (SBB) sa 1 vijećnikom, Stranka de</w:t>
      </w:r>
      <w:r w:rsidR="009F4635">
        <w:rPr>
          <w:lang w:val="hr-HR"/>
        </w:rPr>
        <w:t>mokratske aktivnosti (ASDA) sa 1</w:t>
      </w:r>
      <w:r>
        <w:rPr>
          <w:lang w:val="hr-HR"/>
        </w:rPr>
        <w:t xml:space="preserve"> vijećnik</w:t>
      </w:r>
      <w:r w:rsidR="00F7223B">
        <w:rPr>
          <w:lang w:val="hr-HR"/>
        </w:rPr>
        <w:t>om, 1 s</w:t>
      </w:r>
      <w:r w:rsidR="00F7223B" w:rsidRPr="00F7223B">
        <w:rPr>
          <w:lang w:val="hr-HR"/>
        </w:rPr>
        <w:t>amostalni vijećnik</w:t>
      </w:r>
      <w:r>
        <w:rPr>
          <w:lang w:val="hr-HR"/>
        </w:rPr>
        <w:t xml:space="preserve">  i </w:t>
      </w:r>
      <w:r w:rsidR="00F7223B">
        <w:rPr>
          <w:lang w:val="hr-HR"/>
        </w:rPr>
        <w:t>1</w:t>
      </w:r>
      <w:r>
        <w:rPr>
          <w:lang w:val="hr-HR"/>
        </w:rPr>
        <w:t xml:space="preserve"> </w:t>
      </w:r>
      <w:r>
        <w:rPr>
          <w:lang w:val="hr-BA"/>
        </w:rPr>
        <w:t>vijećnik iz reda nacionalnih manjina.</w:t>
      </w:r>
      <w:r>
        <w:rPr>
          <w:lang w:val="hr-HR"/>
        </w:rPr>
        <w:t xml:space="preserve"> U radu OV učestvuju tri žene.  </w:t>
      </w:r>
    </w:p>
    <w:p w:rsidR="00FE5FA2" w:rsidRDefault="00BC2C19" w:rsidP="00750FA5">
      <w:pPr>
        <w:rPr>
          <w:lang w:val="hr-HR"/>
        </w:rPr>
      </w:pPr>
      <w:r>
        <w:rPr>
          <w:lang w:val="hr-HR"/>
        </w:rPr>
        <w:t xml:space="preserve">Izvršni organ jedinice lokalne samouprave je općinski načelnik koji rukovodi općinskom administracijom i direktno je odgovoran za provedbu općinskih politika i izvršavanje općinskih propisa, te obavljanje poslova koje na Općinu prenesu </w:t>
      </w:r>
      <w:r w:rsidR="00DE5736">
        <w:rPr>
          <w:lang w:val="hr-HR"/>
        </w:rPr>
        <w:t>K</w:t>
      </w:r>
      <w:r>
        <w:rPr>
          <w:lang w:val="hr-HR"/>
        </w:rPr>
        <w:t xml:space="preserve">antonalna i </w:t>
      </w:r>
      <w:r w:rsidR="00DE5736">
        <w:rPr>
          <w:lang w:val="hr-HR"/>
        </w:rPr>
        <w:t>F</w:t>
      </w:r>
      <w:r>
        <w:rPr>
          <w:lang w:val="hr-HR"/>
        </w:rPr>
        <w:t>ederalna vlast. U skladu sa Odlukom o organizaciji općinskih službi za upravu, općinska administracija u Kales</w:t>
      </w:r>
      <w:r w:rsidR="00101B63">
        <w:rPr>
          <w:lang w:val="hr-HR"/>
        </w:rPr>
        <w:t>iji je organizirana u okviru četiri</w:t>
      </w:r>
      <w:r>
        <w:rPr>
          <w:lang w:val="hr-HR"/>
        </w:rPr>
        <w:t xml:space="preserve"> služb</w:t>
      </w:r>
      <w:r w:rsidR="00DE5736">
        <w:rPr>
          <w:lang w:val="hr-HR"/>
        </w:rPr>
        <w:t>e</w:t>
      </w:r>
      <w:r>
        <w:rPr>
          <w:lang w:val="hr-HR"/>
        </w:rPr>
        <w:t xml:space="preserve"> za</w:t>
      </w:r>
      <w:r w:rsidR="00101B63">
        <w:rPr>
          <w:lang w:val="hr-HR"/>
        </w:rPr>
        <w:t xml:space="preserve"> upravu (Služba za privredu i budžet</w:t>
      </w:r>
      <w:r>
        <w:rPr>
          <w:lang w:val="hr-HR"/>
        </w:rPr>
        <w:t>,</w:t>
      </w:r>
      <w:r w:rsidR="00101B63">
        <w:rPr>
          <w:lang w:val="hr-HR"/>
        </w:rPr>
        <w:t xml:space="preserve"> Služba za opću upravu i društvene djelatnosti,</w:t>
      </w:r>
      <w:r>
        <w:rPr>
          <w:lang w:val="hr-HR"/>
        </w:rPr>
        <w:t xml:space="preserve"> Služba</w:t>
      </w:r>
      <w:r w:rsidR="00101B63">
        <w:rPr>
          <w:lang w:val="hr-HR"/>
        </w:rPr>
        <w:t xml:space="preserve"> za prostorno uređenje, geodetske i imovinsko-pravne poslove i Služba komunalne poslove i civilnu zaštitu)</w:t>
      </w:r>
      <w:r>
        <w:rPr>
          <w:lang w:val="hr-HR"/>
        </w:rPr>
        <w:t>, i dvije stručne službe (Stručna služba Općinskog vijeća i Stručna služba općinskog načelnika).</w:t>
      </w:r>
      <w:r w:rsidR="001F0FA5">
        <w:rPr>
          <w:lang w:val="hr-HR"/>
        </w:rPr>
        <w:t xml:space="preserve"> Resor upravljanja razvojem nije sistematizacijom izdvojen u posebnu organizacionu jedinicu i u toj oblasti potrebno je uvesti promjene, sa ciljem efikasnije primjene razvojne Strategije.</w:t>
      </w:r>
    </w:p>
    <w:p w:rsidR="001F0FA5" w:rsidRPr="009D7BAD" w:rsidRDefault="00BC2C19" w:rsidP="00750FA5">
      <w:pPr>
        <w:rPr>
          <w:lang w:val="hr-HR"/>
        </w:rPr>
      </w:pPr>
      <w:r>
        <w:rPr>
          <w:lang w:val="hr-HR"/>
        </w:rPr>
        <w:t>Općina  posjeduje Prostorni plan, usvojen od strane Općinskog vijeća 2017. godine. Općina posjeduje i pet regulacionih planova</w:t>
      </w:r>
      <w:r>
        <w:rPr>
          <w:rStyle w:val="FootnoteReference"/>
        </w:rPr>
        <w:footnoteReference w:id="9"/>
      </w:r>
      <w:r>
        <w:rPr>
          <w:lang w:val="hr-HR"/>
        </w:rPr>
        <w:t xml:space="preserve">. </w:t>
      </w:r>
      <w:r w:rsidR="00153E34" w:rsidRPr="00153E34">
        <w:rPr>
          <w:lang w:val="hr-HR"/>
        </w:rPr>
        <w:t>U narednom periodu planira se izrada regulacionih planova za sve industrijske zone čija površina prelazi 5 ha, kao i zoning planove za sportsko-rekreacione i turističke zone (SRC "Jezera",</w:t>
      </w:r>
      <w:r w:rsidR="00DE5736">
        <w:rPr>
          <w:lang w:val="hr-HR"/>
        </w:rPr>
        <w:t xml:space="preserve"> </w:t>
      </w:r>
      <w:r w:rsidR="00153E34" w:rsidRPr="00153E34">
        <w:rPr>
          <w:lang w:val="hr-HR"/>
        </w:rPr>
        <w:t>SRC "Jokovića potok",</w:t>
      </w:r>
      <w:r w:rsidR="00DE5736">
        <w:rPr>
          <w:lang w:val="hr-HR"/>
        </w:rPr>
        <w:t xml:space="preserve"> </w:t>
      </w:r>
      <w:r w:rsidR="00153E34" w:rsidRPr="00153E34">
        <w:rPr>
          <w:lang w:val="hr-HR"/>
        </w:rPr>
        <w:t>Turistička zona "Vis",</w:t>
      </w:r>
      <w:r w:rsidR="00DE5736">
        <w:rPr>
          <w:lang w:val="hr-HR"/>
        </w:rPr>
        <w:t xml:space="preserve"> </w:t>
      </w:r>
      <w:r w:rsidR="00153E34" w:rsidRPr="00153E34">
        <w:rPr>
          <w:lang w:val="hr-HR"/>
        </w:rPr>
        <w:t>Turistička zona "Pješav</w:t>
      </w:r>
      <w:r w:rsidR="00153E34">
        <w:rPr>
          <w:lang w:val="hr-HR"/>
        </w:rPr>
        <w:t>ica" i Turistička zona "Grabik")</w:t>
      </w:r>
      <w:r w:rsidR="00153E34" w:rsidRPr="00153E34">
        <w:rPr>
          <w:lang w:val="hr-HR"/>
        </w:rPr>
        <w:t xml:space="preserve">. </w:t>
      </w:r>
      <w:r>
        <w:rPr>
          <w:lang w:val="hr-HR"/>
        </w:rPr>
        <w:t>Katastarska dokumentacija je uređena, s uvidom u posjedovno stanje iz prijeratnog perioda. Zemljišno-knjižni ured je pri Općinskom sudu Kalesija, a zemljišne knjige su dosta nesređene. Trenutno Federalna geodestska uprava provodi</w:t>
      </w:r>
      <w:r w:rsidR="000E1ACE">
        <w:rPr>
          <w:lang w:val="hr-HR"/>
        </w:rPr>
        <w:t>.</w:t>
      </w:r>
      <w:r>
        <w:rPr>
          <w:lang w:val="hr-HR"/>
        </w:rPr>
        <w:t xml:space="preserve"> </w:t>
      </w:r>
      <w:r w:rsidR="00CC74E4">
        <w:rPr>
          <w:lang w:val="hr-HR"/>
        </w:rPr>
        <w:t>U toku je „</w:t>
      </w:r>
      <w:r w:rsidRPr="008F1B3C">
        <w:rPr>
          <w:lang w:val="hr-HR" w:eastAsia="hr-HR"/>
        </w:rPr>
        <w:t>Projekt registracije nekretnina</w:t>
      </w:r>
      <w:r w:rsidR="00CC74E4">
        <w:rPr>
          <w:lang w:val="hr-HR" w:eastAsia="hr-HR"/>
        </w:rPr>
        <w:t>“</w:t>
      </w:r>
      <w:r w:rsidRPr="008F1B3C">
        <w:rPr>
          <w:lang w:val="hr-HR" w:eastAsia="hr-HR"/>
        </w:rPr>
        <w:t xml:space="preserve"> na osnovu Sporazuma o finansiranju između Bosne i Hercegovine i Međunarodne asocijacije za razvoj – IDA, </w:t>
      </w:r>
      <w:r w:rsidR="00CC74E4" w:rsidRPr="008F1B3C">
        <w:rPr>
          <w:lang w:val="hr-HR"/>
        </w:rPr>
        <w:t>u kojem učestvuje i općina Kalesija</w:t>
      </w:r>
      <w:r w:rsidR="00CC74E4">
        <w:rPr>
          <w:lang w:val="hr-HR"/>
        </w:rPr>
        <w:t>,</w:t>
      </w:r>
      <w:r w:rsidR="00CC74E4" w:rsidRPr="008F1B3C">
        <w:rPr>
          <w:bCs/>
          <w:lang w:val="hr-HR" w:eastAsia="hr-HR"/>
        </w:rPr>
        <w:t xml:space="preserve"> </w:t>
      </w:r>
      <w:r w:rsidRPr="008F1B3C">
        <w:rPr>
          <w:lang w:val="hr-HR" w:eastAsia="hr-HR"/>
        </w:rPr>
        <w:t xml:space="preserve">a odnosi se na </w:t>
      </w:r>
      <w:r w:rsidR="00CC74E4">
        <w:rPr>
          <w:bCs/>
          <w:lang w:val="hr-HR" w:eastAsia="hr-HR"/>
        </w:rPr>
        <w:t>sistematsko</w:t>
      </w:r>
      <w:r w:rsidRPr="008F1B3C">
        <w:rPr>
          <w:bCs/>
          <w:lang w:val="hr-HR" w:eastAsia="hr-HR"/>
        </w:rPr>
        <w:t xml:space="preserve"> ažuriranj</w:t>
      </w:r>
      <w:r w:rsidR="00CC74E4">
        <w:rPr>
          <w:bCs/>
          <w:lang w:val="hr-HR" w:eastAsia="hr-HR"/>
        </w:rPr>
        <w:t>e</w:t>
      </w:r>
      <w:r w:rsidRPr="008F1B3C">
        <w:rPr>
          <w:bCs/>
          <w:lang w:val="hr-HR" w:eastAsia="hr-HR"/>
        </w:rPr>
        <w:t xml:space="preserve"> podataka o n</w:t>
      </w:r>
      <w:r w:rsidR="00CC74E4">
        <w:rPr>
          <w:bCs/>
          <w:lang w:val="hr-HR" w:eastAsia="hr-HR"/>
        </w:rPr>
        <w:t>ekretninama katastra i zemljišnih knjiga</w:t>
      </w:r>
      <w:r w:rsidRPr="009B33AF">
        <w:rPr>
          <w:lang w:val="hr-HR"/>
        </w:rPr>
        <w:t>.</w:t>
      </w:r>
    </w:p>
    <w:p w:rsidR="001F0FA5" w:rsidRPr="00B47DFF" w:rsidRDefault="00BC2C19" w:rsidP="00750FA5">
      <w:r>
        <w:rPr>
          <w:lang w:val="hr-HR"/>
        </w:rPr>
        <w:t xml:space="preserve">Jedan od problema na koji su ukazali građani općine odnosi se na visinu taksi za izdavanje dokumenata kao što su posjednovni list, te građevinske i urbanističke dozvole. Ranijih godina je OV svojim odlukama </w:t>
      </w:r>
      <w:r>
        <w:rPr>
          <w:lang w:val="hr-HR"/>
        </w:rPr>
        <w:lastRenderedPageBreak/>
        <w:t>utvrđivalo visinu taksi, vodeći računa o ekonomskoj moći građana</w:t>
      </w:r>
      <w:r w:rsidRPr="001F0FA5">
        <w:rPr>
          <w:vertAlign w:val="superscript"/>
        </w:rPr>
        <w:footnoteReference w:id="10"/>
      </w:r>
      <w:r w:rsidRPr="00B47DFF">
        <w:t xml:space="preserve">. </w:t>
      </w:r>
      <w:r w:rsidRPr="008F1B3C">
        <w:t>Donoseći Odluku o naknadama za korištenje podataka premjera i katastra i Odluku o naknadama za vršenje usluga iz oblasti premjera i katastra</w:t>
      </w:r>
      <w:r w:rsidRPr="008F1B3C">
        <w:rPr>
          <w:vertAlign w:val="superscript"/>
        </w:rPr>
        <w:footnoteReference w:id="11"/>
      </w:r>
      <w:r w:rsidRPr="008F1B3C">
        <w:t>, Vlada FBiH je početkom 2015.</w:t>
      </w:r>
      <w:r w:rsidRPr="00B47DFF">
        <w:t xml:space="preserve"> godine utvrdila jedinstvene tarife za usluge katastra za cijelu Federaciju, ne predviđajući povlaštene kategorije.</w:t>
      </w:r>
    </w:p>
    <w:p w:rsidR="00262D2B" w:rsidRDefault="00BC2C19" w:rsidP="00750FA5">
      <w:pPr>
        <w:rPr>
          <w:lang w:val="hr-HR"/>
        </w:rPr>
      </w:pPr>
      <w:r>
        <w:rPr>
          <w:lang w:val="hr-HR"/>
        </w:rPr>
        <w:t>Brzina pružanja usluga, odnosno poštivanje zakonskih rokova za procesuiranje predmeta iz nadležnosti organa lokalne samouprave je na zadovoljavajućem nivou, jer se predmeti uglavnom obrađuju u zakonom utvrđenim rokovima. Ipak, nedovoljna efikasnost je primjetna u rješavanju predmeta koji po svojoj prirodi zahtijevaju provođenje najsloženijih upravnih postupaka</w:t>
      </w:r>
      <w:r>
        <w:rPr>
          <w:rStyle w:val="FootnoteReference"/>
        </w:rPr>
        <w:footnoteReference w:id="12"/>
      </w:r>
      <w:r>
        <w:rPr>
          <w:lang w:val="hr-HR"/>
        </w:rPr>
        <w:t xml:space="preserve"> (postupci imovinsko-pravne prirode, korištenje i raspolaganje građevinskim zemljištem, inspekcijski poslovi, itd.), što je uzrokovano većim prilivom stanovništva na područje općine i kupovinom zemljišta, te nedostatkom visokokvalificiranih kadrova.</w:t>
      </w:r>
      <w:r w:rsidR="00AC2E20">
        <w:rPr>
          <w:lang w:val="hr-HR"/>
        </w:rPr>
        <w:t xml:space="preserve"> </w:t>
      </w:r>
    </w:p>
    <w:p w:rsidR="00BC2C19" w:rsidRDefault="00173EB8" w:rsidP="00750FA5">
      <w:pPr>
        <w:rPr>
          <w:lang w:val="hr-HR"/>
        </w:rPr>
      </w:pPr>
      <w:r>
        <w:rPr>
          <w:lang w:val="hr-HR"/>
        </w:rPr>
        <w:t xml:space="preserve">Općinsko vijeće svake godine razmatra izvještaj o rješavanju </w:t>
      </w:r>
      <w:r w:rsidR="00C86199">
        <w:rPr>
          <w:lang w:val="hr-HR"/>
        </w:rPr>
        <w:t>upravnih stvari u upravnom postupku općinski</w:t>
      </w:r>
      <w:r w:rsidR="00262D2B">
        <w:rPr>
          <w:lang w:val="hr-HR"/>
        </w:rPr>
        <w:t>h</w:t>
      </w:r>
      <w:r w:rsidR="00C86199">
        <w:rPr>
          <w:lang w:val="hr-HR"/>
        </w:rPr>
        <w:t xml:space="preserve"> s</w:t>
      </w:r>
      <w:r w:rsidR="00262D2B">
        <w:rPr>
          <w:lang w:val="hr-HR"/>
        </w:rPr>
        <w:t xml:space="preserve">lužbi za upravu. U toku </w:t>
      </w:r>
      <w:r w:rsidR="00C86199">
        <w:rPr>
          <w:lang w:val="hr-HR"/>
        </w:rPr>
        <w:t>2016</w:t>
      </w:r>
      <w:r w:rsidR="00262D2B">
        <w:rPr>
          <w:lang w:val="hr-HR"/>
        </w:rPr>
        <w:t>.</w:t>
      </w:r>
      <w:r w:rsidR="00C86199">
        <w:rPr>
          <w:lang w:val="hr-HR"/>
        </w:rPr>
        <w:t xml:space="preserve"> godin</w:t>
      </w:r>
      <w:r w:rsidR="00262D2B">
        <w:rPr>
          <w:lang w:val="hr-HR"/>
        </w:rPr>
        <w:t>e</w:t>
      </w:r>
      <w:r w:rsidR="00C86199">
        <w:rPr>
          <w:lang w:val="hr-HR"/>
        </w:rPr>
        <w:t xml:space="preserve"> od službi za upravu zatraženo je izdavanje 26</w:t>
      </w:r>
      <w:r w:rsidR="00262D2B">
        <w:rPr>
          <w:lang w:val="hr-HR"/>
        </w:rPr>
        <w:t>.</w:t>
      </w:r>
      <w:r w:rsidR="00C86199">
        <w:rPr>
          <w:lang w:val="hr-HR"/>
        </w:rPr>
        <w:t>874 raznih uvjerenja, u roku je riješeno 26</w:t>
      </w:r>
      <w:r w:rsidR="00262D2B">
        <w:rPr>
          <w:lang w:val="hr-HR"/>
        </w:rPr>
        <w:t>.</w:t>
      </w:r>
      <w:r w:rsidR="00C86199">
        <w:rPr>
          <w:lang w:val="hr-HR"/>
        </w:rPr>
        <w:t xml:space="preserve">872 zahtjeva, a samo dva zahtjeva su riješena po isteku propisanog roka. U upravnom rješavanju </w:t>
      </w:r>
      <w:r w:rsidR="00262D2B">
        <w:rPr>
          <w:lang w:val="hr-HR"/>
        </w:rPr>
        <w:t>po službenoj dužnosti i po zaht</w:t>
      </w:r>
      <w:r w:rsidR="00C86199">
        <w:rPr>
          <w:lang w:val="hr-HR"/>
        </w:rPr>
        <w:t>jevu stranke službe za upravu su radile na 7</w:t>
      </w:r>
      <w:r w:rsidR="00262D2B">
        <w:rPr>
          <w:lang w:val="hr-HR"/>
        </w:rPr>
        <w:t>.</w:t>
      </w:r>
      <w:r w:rsidR="00C86199">
        <w:rPr>
          <w:lang w:val="hr-HR"/>
        </w:rPr>
        <w:t>851 predmetu, riješeno je 6</w:t>
      </w:r>
      <w:r w:rsidR="00262D2B">
        <w:rPr>
          <w:lang w:val="hr-HR"/>
        </w:rPr>
        <w:t>.</w:t>
      </w:r>
      <w:r w:rsidR="00C86199">
        <w:rPr>
          <w:lang w:val="hr-HR"/>
        </w:rPr>
        <w:t xml:space="preserve">439 predmeta, a neriješenih </w:t>
      </w:r>
      <w:r w:rsidR="00262D2B">
        <w:rPr>
          <w:lang w:val="hr-HR"/>
        </w:rPr>
        <w:t xml:space="preserve">je </w:t>
      </w:r>
      <w:r w:rsidR="00C86199">
        <w:rPr>
          <w:lang w:val="hr-HR"/>
        </w:rPr>
        <w:t xml:space="preserve">1412. Na rješenja donesena u upravnom postupku podnešena je 31 žalba, od toga je 17 odbijeno, 11 žalbi uvaženo, a </w:t>
      </w:r>
      <w:r w:rsidR="00262D2B">
        <w:rPr>
          <w:lang w:val="hr-HR"/>
        </w:rPr>
        <w:t>4</w:t>
      </w:r>
      <w:r w:rsidR="00C86199">
        <w:rPr>
          <w:lang w:val="hr-HR"/>
        </w:rPr>
        <w:t xml:space="preserve"> žalbe su u drugostepenom postupku odbačene. Od ukupnog broja neriješenih predmeta najveći broj se odnosi </w:t>
      </w:r>
      <w:r w:rsidR="00E94B97">
        <w:rPr>
          <w:lang w:val="hr-HR"/>
        </w:rPr>
        <w:t>na predmete iz oblasti građenja na složene poslove iz oblasti geodetskih i imovinsko pravnih poslova.</w:t>
      </w:r>
    </w:p>
    <w:p w:rsidR="00E94B97" w:rsidRPr="00FE5FA2" w:rsidRDefault="00E94B97" w:rsidP="00750FA5">
      <w:pPr>
        <w:rPr>
          <w:lang w:val="hr-HR"/>
        </w:rPr>
      </w:pPr>
      <w:r>
        <w:rPr>
          <w:lang w:val="hr-HR"/>
        </w:rPr>
        <w:t>Konkretne mjere na pobo</w:t>
      </w:r>
      <w:r w:rsidR="00262D2B">
        <w:rPr>
          <w:lang w:val="hr-HR"/>
        </w:rPr>
        <w:t>l</w:t>
      </w:r>
      <w:r>
        <w:rPr>
          <w:lang w:val="hr-HR"/>
        </w:rPr>
        <w:t>jšanju efikasnosti rada organa uprave su već poduzete, izmjenom Odluke o organizaciji službi za upravu i pripremama za pobo</w:t>
      </w:r>
      <w:r w:rsidR="00262D2B">
        <w:rPr>
          <w:lang w:val="hr-HR"/>
        </w:rPr>
        <w:t>l</w:t>
      </w:r>
      <w:r>
        <w:rPr>
          <w:lang w:val="hr-HR"/>
        </w:rPr>
        <w:t xml:space="preserve">jšanje kvalifikacione strukture zaposlenih. </w:t>
      </w:r>
      <w:r w:rsidR="00262D2B">
        <w:rPr>
          <w:lang w:val="hr-HR"/>
        </w:rPr>
        <w:t>U toku su aktivnosti na primjeni novih mjera, t</w:t>
      </w:r>
      <w:r>
        <w:rPr>
          <w:lang w:val="hr-HR"/>
        </w:rPr>
        <w:t xml:space="preserve">ehničko opremanje novim računarima i pratećom opremom, </w:t>
      </w:r>
      <w:r w:rsidR="00262D2B">
        <w:rPr>
          <w:lang w:val="hr-HR"/>
        </w:rPr>
        <w:t>kao i projekt za</w:t>
      </w:r>
      <w:r>
        <w:rPr>
          <w:lang w:val="hr-HR"/>
        </w:rPr>
        <w:t xml:space="preserve"> standardizaciju procesa pružanja usluga.</w:t>
      </w:r>
    </w:p>
    <w:p w:rsidR="00B13631" w:rsidRDefault="00B13631" w:rsidP="00750FA5">
      <w:pPr>
        <w:rPr>
          <w:lang w:val="hr-HR"/>
        </w:rPr>
      </w:pPr>
      <w:r>
        <w:rPr>
          <w:lang w:val="hr-HR"/>
        </w:rPr>
        <w:t>Općinska uprava, uključujući načelnika i općinskog pravobranioca</w:t>
      </w:r>
      <w:r>
        <w:rPr>
          <w:rStyle w:val="FootnoteReference"/>
        </w:rPr>
        <w:footnoteReference w:id="13"/>
      </w:r>
      <w:r>
        <w:rPr>
          <w:lang w:val="hr-HR"/>
        </w:rPr>
        <w:t>,</w:t>
      </w:r>
      <w:r w:rsidR="00262D2B">
        <w:rPr>
          <w:lang w:val="hr-HR"/>
        </w:rPr>
        <w:t xml:space="preserve"> </w:t>
      </w:r>
      <w:r>
        <w:rPr>
          <w:lang w:val="hr-HR"/>
        </w:rPr>
        <w:t>trenutno zapošljava 78 osob</w:t>
      </w:r>
      <w:r w:rsidR="00262D2B">
        <w:rPr>
          <w:lang w:val="hr-HR"/>
        </w:rPr>
        <w:t>a</w:t>
      </w:r>
      <w:r>
        <w:rPr>
          <w:rStyle w:val="FootnoteReference"/>
        </w:rPr>
        <w:footnoteReference w:id="14"/>
      </w:r>
      <w:r>
        <w:rPr>
          <w:lang w:val="hr-HR"/>
        </w:rPr>
        <w:t>, od čega 19 žena</w:t>
      </w:r>
      <w:r>
        <w:rPr>
          <w:rStyle w:val="FootnoteReference"/>
        </w:rPr>
        <w:footnoteReference w:id="15"/>
      </w:r>
      <w:r>
        <w:rPr>
          <w:lang w:val="hr-HR"/>
        </w:rPr>
        <w:t>. Od ukupnog broja zaposlenih, 32 ih je s</w:t>
      </w:r>
      <w:r w:rsidR="00262D2B">
        <w:rPr>
          <w:lang w:val="hr-HR"/>
        </w:rPr>
        <w:t>a VSS,  41 sa SSS, 3 NK i 2 KV</w:t>
      </w:r>
      <w:r>
        <w:rPr>
          <w:lang w:val="hr-HR"/>
        </w:rPr>
        <w:t xml:space="preserve"> radnika</w:t>
      </w:r>
      <w:r>
        <w:rPr>
          <w:rStyle w:val="FootnoteReference"/>
        </w:rPr>
        <w:footnoteReference w:id="16"/>
      </w:r>
      <w:r>
        <w:rPr>
          <w:lang w:val="hr-HR"/>
        </w:rPr>
        <w:t xml:space="preserve">. Raspoređivanje zaposlenih na konkretne poslove i radne zadatke izvršeno </w:t>
      </w:r>
      <w:r w:rsidR="00262D2B">
        <w:rPr>
          <w:lang w:val="hr-HR"/>
        </w:rPr>
        <w:t xml:space="preserve">je </w:t>
      </w:r>
      <w:r>
        <w:rPr>
          <w:lang w:val="hr-HR"/>
        </w:rPr>
        <w:t>u skladu s Pravilnikom o unutrašnjoj organizaciji</w:t>
      </w:r>
      <w:r w:rsidR="00262D2B">
        <w:rPr>
          <w:lang w:val="hr-HR"/>
        </w:rPr>
        <w:t xml:space="preserve"> i sitematizaciji radnih mjesta</w:t>
      </w:r>
      <w:r>
        <w:rPr>
          <w:lang w:val="hr-HR"/>
        </w:rPr>
        <w:t>. Trenutna kvalifikaciona struktura zaposlenih nije zadovoljavajuća, posebice kada se radi o radnim mjestima koja zahtijevaju visoku stručnu spremu</w:t>
      </w:r>
      <w:r>
        <w:rPr>
          <w:rStyle w:val="FootnoteReference"/>
        </w:rPr>
        <w:footnoteReference w:id="17"/>
      </w:r>
      <w:r>
        <w:rPr>
          <w:lang w:val="hr-HR"/>
        </w:rPr>
        <w:t xml:space="preserve">. </w:t>
      </w:r>
      <w:r w:rsidR="00262D2B">
        <w:rPr>
          <w:lang w:val="hr-HR"/>
        </w:rPr>
        <w:t>Starosna struktura državnih službenika i namještenika također nije zadovoljavajuća, jer je samo 3 uposlenika (</w:t>
      </w:r>
      <w:r w:rsidR="00CB6937">
        <w:rPr>
          <w:lang w:val="hr-HR"/>
        </w:rPr>
        <w:t>4</w:t>
      </w:r>
      <w:r w:rsidR="00262D2B">
        <w:rPr>
          <w:lang w:val="hr-HR"/>
        </w:rPr>
        <w:t>%) mlađe od 30 godina, a 45 uposlenika (5</w:t>
      </w:r>
      <w:r w:rsidR="00CB6937">
        <w:rPr>
          <w:lang w:val="hr-HR"/>
        </w:rPr>
        <w:t>8</w:t>
      </w:r>
      <w:r w:rsidR="00262D2B">
        <w:rPr>
          <w:lang w:val="hr-HR"/>
        </w:rPr>
        <w:t xml:space="preserve">%) je starije od 50 godina. </w:t>
      </w:r>
      <w:r>
        <w:rPr>
          <w:lang w:val="hr-HR"/>
        </w:rPr>
        <w:t xml:space="preserve">Ovo se negativno odražava </w:t>
      </w:r>
      <w:r w:rsidR="00262D2B">
        <w:rPr>
          <w:lang w:val="hr-HR"/>
        </w:rPr>
        <w:t>na kvalitet pružanja usluga</w:t>
      </w:r>
      <w:r>
        <w:rPr>
          <w:lang w:val="hr-HR"/>
        </w:rPr>
        <w:t>. Kroz različite oblike edukacije, uglavnom odgovarajući na ponude eksternih partnera, čine se napori kako bi se unaprijedila znanja i vještine zaposlenih.</w:t>
      </w:r>
    </w:p>
    <w:p w:rsidR="00357EFE" w:rsidRPr="00357EFE" w:rsidRDefault="00357EFE" w:rsidP="00AD59CB">
      <w:pPr>
        <w:pStyle w:val="Heading4"/>
        <w:rPr>
          <w:lang w:val="hr-HR"/>
        </w:rPr>
      </w:pPr>
      <w:bookmarkStart w:id="39" w:name="_Toc177266107"/>
      <w:bookmarkStart w:id="40" w:name="_Toc177265909"/>
      <w:bookmarkStart w:id="41" w:name="_Toc177199000"/>
      <w:bookmarkStart w:id="42" w:name="_Toc174848455"/>
      <w:bookmarkStart w:id="43" w:name="_Toc174160850"/>
      <w:bookmarkStart w:id="44" w:name="_Toc172618588"/>
      <w:bookmarkStart w:id="45" w:name="_Toc172618152"/>
      <w:bookmarkStart w:id="46" w:name="_Toc172617741"/>
      <w:bookmarkStart w:id="47" w:name="_Toc161460214"/>
      <w:bookmarkStart w:id="48" w:name="_Toc500140017"/>
      <w:r w:rsidRPr="00B72A02">
        <w:rPr>
          <w:lang w:val="hr-HR"/>
        </w:rPr>
        <w:t>Informiranje i učešće građana u javnim poslovima</w:t>
      </w:r>
      <w:bookmarkEnd w:id="39"/>
      <w:bookmarkEnd w:id="40"/>
      <w:bookmarkEnd w:id="41"/>
      <w:bookmarkEnd w:id="42"/>
      <w:bookmarkEnd w:id="43"/>
      <w:bookmarkEnd w:id="44"/>
      <w:bookmarkEnd w:id="45"/>
      <w:bookmarkEnd w:id="46"/>
      <w:bookmarkEnd w:id="47"/>
      <w:bookmarkEnd w:id="48"/>
    </w:p>
    <w:p w:rsidR="003B4787" w:rsidRDefault="00357EFE" w:rsidP="00750FA5">
      <w:pPr>
        <w:rPr>
          <w:lang w:val="hr-HR"/>
        </w:rPr>
      </w:pPr>
      <w:r>
        <w:rPr>
          <w:lang w:val="hr-HR"/>
        </w:rPr>
        <w:t xml:space="preserve">Neposredno učešće građana u procesu donošenja odluka je uređeno Statutom Općine Kalesija, te odlukama Općinskog vijeća, među kojima posebnu važnost ima Odluka o javnim raspravama. Ovom Odlukom je uređeno da se javne rasprave obavezno provode kada se radi o pitanjima koja su od neposrednog interesa za građane, kao što su donošenje i izmjene Statuta, budžet općine, program kapitalnih investicija i druga pitanja. </w:t>
      </w:r>
    </w:p>
    <w:p w:rsidR="00357EFE" w:rsidRPr="009D7BAD" w:rsidRDefault="00357EFE" w:rsidP="00750FA5">
      <w:pPr>
        <w:rPr>
          <w:lang w:val="hr-HR"/>
        </w:rPr>
      </w:pPr>
      <w:r>
        <w:rPr>
          <w:lang w:val="hr-HR"/>
        </w:rPr>
        <w:lastRenderedPageBreak/>
        <w:t>U cilju unapređenja komunikacije između građana i lokalne vlasti i osiguranja slobode pristupa informacijama, informiranje građana vrši se putem internog oglašavanja na oglasnoj ploči, štampanjem Službenog glasnika Općine Kalesija,</w:t>
      </w:r>
      <w:r w:rsidR="003B4787">
        <w:rPr>
          <w:lang w:val="hr-HR"/>
        </w:rPr>
        <w:t xml:space="preserve"> </w:t>
      </w:r>
      <w:r>
        <w:rPr>
          <w:lang w:val="hr-HR"/>
        </w:rPr>
        <w:t xml:space="preserve">putem oficijelne web stranice Općine Kalesija </w:t>
      </w:r>
      <w:r w:rsidR="003B4787">
        <w:rPr>
          <w:lang w:val="hr-HR"/>
        </w:rPr>
        <w:t>(</w:t>
      </w:r>
      <w:hyperlink r:id="rId30" w:history="1">
        <w:r w:rsidR="003B4787" w:rsidRPr="00DB49A0">
          <w:rPr>
            <w:rStyle w:val="Hyperlink"/>
            <w:lang w:val="hr-HR"/>
          </w:rPr>
          <w:t>www.kalesija.ba</w:t>
        </w:r>
      </w:hyperlink>
      <w:r w:rsidR="003B4787">
        <w:rPr>
          <w:lang w:val="hr-HR"/>
        </w:rPr>
        <w:t>)</w:t>
      </w:r>
      <w:r>
        <w:rPr>
          <w:lang w:val="hr-HR"/>
        </w:rPr>
        <w:t>,</w:t>
      </w:r>
      <w:r w:rsidR="003B4787">
        <w:rPr>
          <w:lang w:val="hr-HR"/>
        </w:rPr>
        <w:t xml:space="preserve"> </w:t>
      </w:r>
      <w:r>
        <w:rPr>
          <w:lang w:val="hr-HR"/>
        </w:rPr>
        <w:t>te prijemom građana kod načelnika. Općina pruža informacije i preko lokalnog radija „FERAL“, Neon televizije, Tuzlanskog kantona (TVTK), drugih web portala</w:t>
      </w:r>
      <w:r w:rsidR="003B4787">
        <w:rPr>
          <w:lang w:val="hr-HR"/>
        </w:rPr>
        <w:t>,</w:t>
      </w:r>
      <w:r>
        <w:rPr>
          <w:lang w:val="hr-HR"/>
        </w:rPr>
        <w:t xml:space="preserve"> a za značajnije događaje i preko Federalne televizije (FTV). Jednom sedmično emituje se dvočasovna hronika na radio „FERAL-u“, u kojoj se iznose sva dešavanja u općini. U sklopu Centra za pružanje usluga građanima otvaren je i info-pult u okviru kojeg građani mogu dobiti sve potrebne informacije, čime se izbjeglo nepotrebno opterećenje pozadinskih kancelarija. Urađen je Vodič za građane kroz općinu Kalesija i Index informacija. Sve općinske službe su izradile brošure, s najbitnijim informacijama o radu službi, a koje su dostupne u Centru za pružanje usluga. </w:t>
      </w:r>
    </w:p>
    <w:p w:rsidR="00357EFE" w:rsidRPr="009D7BAD" w:rsidRDefault="00357EFE" w:rsidP="00750FA5">
      <w:pPr>
        <w:rPr>
          <w:lang w:val="hr-HR"/>
        </w:rPr>
      </w:pPr>
      <w:r>
        <w:rPr>
          <w:lang w:val="hr-HR"/>
        </w:rPr>
        <w:t>Komunikacija s građanima se ostvaruje i kroz rad 22 mjesne zajednice. Nakon općinskih izbora 2016. godine izabrana su Vij</w:t>
      </w:r>
      <w:r w:rsidR="002175B0">
        <w:rPr>
          <w:lang w:val="hr-HR"/>
        </w:rPr>
        <w:t>eća  u mjesnim zajednicama.</w:t>
      </w:r>
      <w:r>
        <w:rPr>
          <w:lang w:val="hr-HR"/>
        </w:rPr>
        <w:t xml:space="preserve"> U radu mjesnih zajednica učestvuju i tri sekretara mjesnih zajednica</w:t>
      </w:r>
      <w:r>
        <w:rPr>
          <w:rStyle w:val="FootnoteReference"/>
        </w:rPr>
        <w:footnoteReference w:id="18"/>
      </w:r>
      <w:r>
        <w:rPr>
          <w:lang w:val="hr-HR"/>
        </w:rPr>
        <w:t xml:space="preserve"> koji su zaposleni u Općini i koji pružaju stručnu i tehničku podršku mjesnim zajednicama. Prema mišljenju predsjednika Vijeća mjesnih zajednica potrebno je organizirati redovne mjesečne sastanke s načelnikom i njegovim pomoćnicima u cilju poboljšanja rada MZ. Sve MZ imaju prostorije za svoj rad, a sredstva za njihov rad izdvajaju se iz općinskog budžeta</w:t>
      </w:r>
      <w:r>
        <w:rPr>
          <w:rStyle w:val="FootnoteReference"/>
        </w:rPr>
        <w:footnoteReference w:id="19"/>
      </w:r>
      <w:r>
        <w:rPr>
          <w:lang w:val="hr-HR"/>
        </w:rPr>
        <w:t xml:space="preserve"> po utvrđenom kriterijumu, koji uzima</w:t>
      </w:r>
      <w:r w:rsidR="002175B0">
        <w:rPr>
          <w:lang w:val="hr-HR"/>
        </w:rPr>
        <w:t>ju</w:t>
      </w:r>
      <w:r>
        <w:rPr>
          <w:lang w:val="hr-HR"/>
        </w:rPr>
        <w:t xml:space="preserve"> u obzir veličinu MZ i broj stanovnika. Osim toga, projekti po mjesnim zajednicama se podržavaju u okviru kapitalnih izdataka </w:t>
      </w:r>
      <w:r w:rsidR="002175B0">
        <w:rPr>
          <w:lang w:val="hr-HR"/>
        </w:rPr>
        <w:t>(</w:t>
      </w:r>
      <w:r>
        <w:rPr>
          <w:lang w:val="hr-HR"/>
        </w:rPr>
        <w:t>asfaltiranje lokalnih puteva, adaptacija objekata po mjesnim zajednicama</w:t>
      </w:r>
      <w:r w:rsidR="002175B0">
        <w:rPr>
          <w:lang w:val="hr-HR"/>
        </w:rPr>
        <w:t>)</w:t>
      </w:r>
      <w:r>
        <w:rPr>
          <w:lang w:val="hr-HR"/>
        </w:rPr>
        <w:t xml:space="preserve">, uz učešće građana po sistemu „marka na marku“. </w:t>
      </w:r>
    </w:p>
    <w:p w:rsidR="00357EFE" w:rsidRDefault="00357EFE" w:rsidP="00750FA5">
      <w:r>
        <w:t>Na području općine djeluje 31 organizacija civilnog društva</w:t>
      </w:r>
      <w:r>
        <w:rPr>
          <w:rStyle w:val="FootnoteReference"/>
        </w:rPr>
        <w:footnoteReference w:id="20"/>
      </w:r>
      <w:r>
        <w:t xml:space="preserve">, koje djeluju u različitim oblastima života u lokalnoj zajednici. </w:t>
      </w:r>
      <w:r w:rsidR="002175B0">
        <w:t>N</w:t>
      </w:r>
      <w:r>
        <w:t>a ime udruženja građana u 2016. godini je izdvojeno 50.000 KM</w:t>
      </w:r>
      <w:r>
        <w:rPr>
          <w:rStyle w:val="FootnoteReference"/>
        </w:rPr>
        <w:footnoteReference w:id="21"/>
      </w:r>
      <w:r>
        <w:t>. Od 2017. godine raspodjela budžetskih sredstava udruženjima vršiće se putem javnog poziva za dostavljanje prijedloga projekta i uz jasno definirane kriterije. Za podršku neprofitnim organizacijama u 2016.</w:t>
      </w:r>
      <w:r w:rsidR="00FE5FA2">
        <w:t xml:space="preserve"> </w:t>
      </w:r>
      <w:r>
        <w:t>godini iz općinskog budžeta izdvojeno je 180.000 KM</w:t>
      </w:r>
      <w:r>
        <w:rPr>
          <w:rStyle w:val="FootnoteReference"/>
        </w:rPr>
        <w:footnoteReference w:id="22"/>
      </w:r>
      <w:r>
        <w:t>, dok je budžetom za 2017. godinu za ovu svrhu planirano 212.000 KM</w:t>
      </w:r>
      <w:r>
        <w:rPr>
          <w:rStyle w:val="FootnoteReference"/>
        </w:rPr>
        <w:footnoteReference w:id="23"/>
      </w:r>
      <w:r>
        <w:t>.</w:t>
      </w:r>
    </w:p>
    <w:p w:rsidR="00A27227" w:rsidRDefault="00357EFE" w:rsidP="00750FA5">
      <w:r>
        <w:t>Iako Općina Kalesija, kao nosilac dužnosti, ulaže velike napore da kroz  formalne i neformalne mehanizme omogući što veću uključenost građana u procese donošenja odluka, neophodno je poduzeti i dodatne korake u cilju podizanja svijesti kod građana o njihovim pravima i obavezama. Postojeći mehanizmi za informiranje i direktno uključivanje građana</w:t>
      </w:r>
      <w:r>
        <w:rPr>
          <w:rStyle w:val="FootnoteReference"/>
        </w:rPr>
        <w:footnoteReference w:id="24"/>
      </w:r>
      <w:r>
        <w:t xml:space="preserve"> u javne poslove se nedovoljno ko</w:t>
      </w:r>
      <w:r w:rsidR="00F02A2E">
        <w:t>riste, te</w:t>
      </w:r>
      <w:r>
        <w:t xml:space="preserve"> je neophodno poduzeti dodatne napore za stvaranje boljeg okru</w:t>
      </w:r>
      <w:r w:rsidR="00092E44">
        <w:t xml:space="preserve">ženja za građansko djelovanje. </w:t>
      </w:r>
    </w:p>
    <w:p w:rsidR="001A6DA8" w:rsidRPr="001A6DA8" w:rsidRDefault="001A6DA8" w:rsidP="00AD59CB">
      <w:pPr>
        <w:pStyle w:val="Heading4"/>
        <w:rPr>
          <w:lang w:val="hr-HR"/>
        </w:rPr>
      </w:pPr>
      <w:bookmarkStart w:id="49" w:name="_Toc177266112"/>
      <w:bookmarkStart w:id="50" w:name="_Toc177265914"/>
      <w:bookmarkStart w:id="51" w:name="_Toc177199005"/>
      <w:bookmarkStart w:id="52" w:name="_Toc174848460"/>
      <w:bookmarkStart w:id="53" w:name="_Toc174160855"/>
      <w:bookmarkStart w:id="54" w:name="_Toc172618593"/>
      <w:bookmarkStart w:id="55" w:name="_Toc172618157"/>
      <w:bookmarkStart w:id="56" w:name="_Toc172617746"/>
      <w:bookmarkStart w:id="57" w:name="_Toc161460219"/>
      <w:bookmarkStart w:id="58" w:name="_Toc500140018"/>
      <w:r w:rsidRPr="001A6DA8">
        <w:rPr>
          <w:lang w:val="hr-HR"/>
        </w:rPr>
        <w:t>Socijalna zaštita</w:t>
      </w:r>
      <w:bookmarkEnd w:id="49"/>
      <w:bookmarkEnd w:id="50"/>
      <w:bookmarkEnd w:id="51"/>
      <w:bookmarkEnd w:id="52"/>
      <w:bookmarkEnd w:id="53"/>
      <w:bookmarkEnd w:id="54"/>
      <w:bookmarkEnd w:id="55"/>
      <w:bookmarkEnd w:id="56"/>
      <w:bookmarkEnd w:id="57"/>
      <w:bookmarkEnd w:id="58"/>
    </w:p>
    <w:p w:rsidR="001A6DA8" w:rsidRPr="00F42328" w:rsidRDefault="001A6DA8" w:rsidP="00750FA5">
      <w:pPr>
        <w:rPr>
          <w:lang w:val="hr-BA" w:eastAsia="zh-CN" w:bidi="hi-IN"/>
        </w:rPr>
      </w:pPr>
      <w:r w:rsidRPr="00F42328">
        <w:rPr>
          <w:lang w:val="hr-BA" w:eastAsia="zh-CN" w:bidi="hi-IN"/>
        </w:rPr>
        <w:t xml:space="preserve">U BiH ne postoji jedinstven sistem socijalne i dječije zaštite, a socijalna zaštita i osiguranje su u nadležnosti entiteta. </w:t>
      </w:r>
      <w:r w:rsidR="00957039">
        <w:rPr>
          <w:lang w:val="hr-BA" w:eastAsia="zh-CN" w:bidi="hi-IN"/>
        </w:rPr>
        <w:t>Na osnovu F</w:t>
      </w:r>
      <w:r w:rsidRPr="00F42328">
        <w:rPr>
          <w:lang w:val="hr-BA" w:eastAsia="zh-CN" w:bidi="hi-IN"/>
        </w:rPr>
        <w:t>ederalnog zakona</w:t>
      </w:r>
      <w:r w:rsidR="00957039" w:rsidRPr="00957039">
        <w:rPr>
          <w:lang w:val="hr-BA" w:eastAsia="zh-CN" w:bidi="hi-IN"/>
        </w:rPr>
        <w:t xml:space="preserve"> </w:t>
      </w:r>
      <w:r w:rsidR="00957039" w:rsidRPr="00F42328">
        <w:rPr>
          <w:lang w:val="hr-BA" w:eastAsia="zh-CN" w:bidi="hi-IN"/>
        </w:rPr>
        <w:t>Zakona o osnovama socijaln</w:t>
      </w:r>
      <w:r w:rsidR="00957039">
        <w:rPr>
          <w:lang w:val="hr-BA" w:eastAsia="zh-CN" w:bidi="hi-IN"/>
        </w:rPr>
        <w:t xml:space="preserve">e </w:t>
      </w:r>
      <w:r w:rsidR="00957039" w:rsidRPr="00F42328">
        <w:rPr>
          <w:lang w:val="hr-BA" w:eastAsia="zh-CN" w:bidi="hi-IN"/>
        </w:rPr>
        <w:t>zaštit</w:t>
      </w:r>
      <w:r w:rsidR="00957039">
        <w:rPr>
          <w:lang w:val="hr-BA" w:eastAsia="zh-CN" w:bidi="hi-IN"/>
        </w:rPr>
        <w:t>e</w:t>
      </w:r>
      <w:r w:rsidR="00957039" w:rsidRPr="00F42328">
        <w:rPr>
          <w:lang w:val="hr-BA" w:eastAsia="zh-CN" w:bidi="hi-IN"/>
        </w:rPr>
        <w:t xml:space="preserve">, zaštiti civilnih </w:t>
      </w:r>
      <w:r w:rsidR="00957039" w:rsidRPr="00F42328">
        <w:rPr>
          <w:lang w:val="hr-BA" w:eastAsia="zh-CN" w:bidi="hi-IN"/>
        </w:rPr>
        <w:lastRenderedPageBreak/>
        <w:t>žrtava rata i zaštiti porodica s djecom</w:t>
      </w:r>
      <w:r w:rsidR="00957039" w:rsidRPr="00F42328">
        <w:rPr>
          <w:vertAlign w:val="superscript"/>
          <w:lang w:val="hr-BA" w:eastAsia="zh-CN" w:bidi="hi-IN"/>
        </w:rPr>
        <w:footnoteReference w:id="25"/>
      </w:r>
      <w:r w:rsidRPr="00F42328">
        <w:rPr>
          <w:lang w:val="hr-BA" w:eastAsia="zh-CN" w:bidi="hi-IN"/>
        </w:rPr>
        <w:t xml:space="preserve">, Tuzlanski kanton je usvojio </w:t>
      </w:r>
      <w:r w:rsidR="00957039">
        <w:rPr>
          <w:lang w:val="hr-BA" w:eastAsia="zh-CN" w:bidi="hi-IN"/>
        </w:rPr>
        <w:t xml:space="preserve">kantonalni </w:t>
      </w:r>
      <w:r w:rsidRPr="00F42328">
        <w:rPr>
          <w:lang w:val="hr-BA" w:eastAsia="zh-CN" w:bidi="hi-IN"/>
        </w:rPr>
        <w:t>Zakon</w:t>
      </w:r>
      <w:r w:rsidRPr="00F42328">
        <w:rPr>
          <w:vertAlign w:val="superscript"/>
          <w:lang w:val="hr-BA" w:eastAsia="zh-CN" w:bidi="hi-IN"/>
        </w:rPr>
        <w:footnoteReference w:id="26"/>
      </w:r>
      <w:r w:rsidR="00957039">
        <w:rPr>
          <w:lang w:val="hr-BA" w:eastAsia="zh-CN" w:bidi="hi-IN"/>
        </w:rPr>
        <w:t>, koji p</w:t>
      </w:r>
      <w:r w:rsidRPr="00F42328">
        <w:rPr>
          <w:lang w:val="hr-BA" w:eastAsia="zh-CN" w:bidi="hi-IN"/>
        </w:rPr>
        <w:t>redviđa da općine, u skladu s mogućnostima, mogu svojim odlukama proširiti listu korisnika.</w:t>
      </w:r>
    </w:p>
    <w:p w:rsidR="001A6DA8" w:rsidRPr="00FE5FA2" w:rsidRDefault="00E41A84" w:rsidP="003663CA">
      <w:pPr>
        <w:spacing w:after="0"/>
        <w:rPr>
          <w:lang w:val="hr-BA" w:eastAsia="zh-CN" w:bidi="hi-IN"/>
        </w:rPr>
      </w:pPr>
      <w:r w:rsidRPr="00F42328">
        <w:rPr>
          <w:lang w:val="hr-BA" w:eastAsia="zh-CN" w:bidi="hi-IN"/>
        </w:rPr>
        <w:t>Nosilac socijalne zaštite na području općine je JU Centar za socijalni rad (CSR)</w:t>
      </w:r>
      <w:r w:rsidRPr="00F42328">
        <w:rPr>
          <w:vertAlign w:val="superscript"/>
          <w:lang w:val="hr-BA" w:eastAsia="zh-CN" w:bidi="hi-IN"/>
        </w:rPr>
        <w:footnoteReference w:id="27"/>
      </w:r>
      <w:r w:rsidRPr="00F42328">
        <w:rPr>
          <w:lang w:val="hr-BA" w:eastAsia="zh-CN" w:bidi="hi-IN"/>
        </w:rPr>
        <w:t>, čija se djelatnost finansira iz općinskog budžeta</w:t>
      </w:r>
      <w:r w:rsidRPr="00F42328">
        <w:rPr>
          <w:vertAlign w:val="superscript"/>
          <w:lang w:val="hr-BA" w:eastAsia="zh-CN" w:bidi="hi-IN"/>
        </w:rPr>
        <w:footnoteReference w:id="28"/>
      </w:r>
      <w:r w:rsidRPr="00F42328">
        <w:rPr>
          <w:lang w:val="hr-BA" w:eastAsia="zh-CN" w:bidi="hi-IN"/>
        </w:rPr>
        <w:t xml:space="preserve">, dok se socijalna davanja predviđena </w:t>
      </w:r>
      <w:r w:rsidR="0039372A">
        <w:rPr>
          <w:lang w:val="hr-BA" w:eastAsia="zh-CN" w:bidi="hi-IN"/>
        </w:rPr>
        <w:t xml:space="preserve">Federalnim i Kantonalnim </w:t>
      </w:r>
      <w:r w:rsidRPr="00F42328">
        <w:rPr>
          <w:lang w:val="hr-BA" w:eastAsia="zh-CN" w:bidi="hi-IN"/>
        </w:rPr>
        <w:t>Zakon</w:t>
      </w:r>
      <w:r w:rsidR="0039372A">
        <w:rPr>
          <w:lang w:val="hr-BA" w:eastAsia="zh-CN" w:bidi="hi-IN"/>
        </w:rPr>
        <w:t>ima</w:t>
      </w:r>
      <w:r w:rsidRPr="00F42328">
        <w:rPr>
          <w:lang w:val="hr-BA" w:eastAsia="zh-CN" w:bidi="hi-IN"/>
        </w:rPr>
        <w:t>, ovisno o obliku i pravu</w:t>
      </w:r>
      <w:r w:rsidR="0039372A">
        <w:rPr>
          <w:lang w:val="hr-BA" w:eastAsia="zh-CN" w:bidi="hi-IN"/>
        </w:rPr>
        <w:t>, uplaćuju</w:t>
      </w:r>
      <w:r w:rsidRPr="00F42328">
        <w:rPr>
          <w:lang w:val="hr-BA" w:eastAsia="zh-CN" w:bidi="hi-IN"/>
        </w:rPr>
        <w:t xml:space="preserve"> direktno na tekuće rečune korisnika. Na osnovu izmjena i dopuna </w:t>
      </w:r>
      <w:r w:rsidRPr="00E41A84">
        <w:rPr>
          <w:lang w:val="hr-BA" w:eastAsia="zh-CN" w:bidi="hi-IN"/>
        </w:rPr>
        <w:t>navedenih zakona</w:t>
      </w:r>
      <w:r w:rsidR="004C7257">
        <w:rPr>
          <w:lang w:val="hr-BA" w:eastAsia="zh-CN" w:bidi="hi-IN"/>
        </w:rPr>
        <w:t xml:space="preserve"> u ranijem periodu</w:t>
      </w:r>
      <w:r w:rsidRPr="00E41A84">
        <w:rPr>
          <w:lang w:val="hr-BA" w:eastAsia="zh-CN" w:bidi="hi-IN"/>
        </w:rPr>
        <w:t xml:space="preserve">, utvrđeni su novi oblici socijalne zaštite za korisnike i na osnovu toga je znatno povećan </w:t>
      </w:r>
      <w:r>
        <w:rPr>
          <w:lang w:val="hr-BA" w:eastAsia="zh-CN" w:bidi="hi-IN"/>
        </w:rPr>
        <w:t>b</w:t>
      </w:r>
      <w:r w:rsidRPr="00E41A84">
        <w:rPr>
          <w:lang w:val="hr-BA" w:eastAsia="zh-CN" w:bidi="hi-IN"/>
        </w:rPr>
        <w:t>roj korisnika određen</w:t>
      </w:r>
      <w:r w:rsidR="004C7257">
        <w:rPr>
          <w:lang w:val="hr-BA" w:eastAsia="zh-CN" w:bidi="hi-IN"/>
        </w:rPr>
        <w:t>ih</w:t>
      </w:r>
      <w:r w:rsidRPr="00E41A84">
        <w:rPr>
          <w:lang w:val="hr-BA" w:eastAsia="zh-CN" w:bidi="hi-IN"/>
        </w:rPr>
        <w:t xml:space="preserve"> prava u odnosu na pređašnji period.</w:t>
      </w:r>
      <w:r>
        <w:rPr>
          <w:lang w:val="hr-BA" w:eastAsia="zh-CN" w:bidi="hi-IN"/>
        </w:rPr>
        <w:t xml:space="preserve"> Na osnovu</w:t>
      </w:r>
      <w:r w:rsidRPr="00E41A84">
        <w:rPr>
          <w:lang w:val="hr-BA" w:eastAsia="zh-CN" w:bidi="hi-IN"/>
        </w:rPr>
        <w:t xml:space="preserve"> statističkih pokazatelja utvrđeno je da je u 2006. godini, na evidenciji bilo ukupno cca 1000 korisnika prava, a na kraju 2016. godine, taj broj je iznosio 3</w:t>
      </w:r>
      <w:r>
        <w:rPr>
          <w:lang w:val="hr-BA" w:eastAsia="zh-CN" w:bidi="hi-IN"/>
        </w:rPr>
        <w:t>.</w:t>
      </w:r>
      <w:r w:rsidRPr="00E41A84">
        <w:rPr>
          <w:lang w:val="hr-BA" w:eastAsia="zh-CN" w:bidi="hi-IN"/>
        </w:rPr>
        <w:t>707 korisnika. U toku 2016. godine korisnicima socijalne zaštite sa područja općine Kalesija</w:t>
      </w:r>
      <w:r w:rsidR="004C7257">
        <w:rPr>
          <w:lang w:val="hr-BA" w:eastAsia="zh-CN" w:bidi="hi-IN"/>
        </w:rPr>
        <w:t>,</w:t>
      </w:r>
      <w:r w:rsidRPr="00E41A84">
        <w:rPr>
          <w:lang w:val="hr-BA" w:eastAsia="zh-CN" w:bidi="hi-IN"/>
        </w:rPr>
        <w:t xml:space="preserve"> po osnovu </w:t>
      </w:r>
      <w:r w:rsidR="004C7257">
        <w:rPr>
          <w:lang w:val="hr-BA" w:eastAsia="zh-CN" w:bidi="hi-IN"/>
        </w:rPr>
        <w:t xml:space="preserve">različitih </w:t>
      </w:r>
      <w:r w:rsidRPr="00E41A84">
        <w:rPr>
          <w:lang w:val="hr-BA" w:eastAsia="zh-CN" w:bidi="hi-IN"/>
        </w:rPr>
        <w:t>oblika socijalne zaštite</w:t>
      </w:r>
      <w:r w:rsidR="004C7257">
        <w:rPr>
          <w:lang w:val="hr-BA" w:eastAsia="zh-CN" w:bidi="hi-IN"/>
        </w:rPr>
        <w:t>,</w:t>
      </w:r>
      <w:r w:rsidRPr="00E41A84">
        <w:rPr>
          <w:lang w:val="hr-BA" w:eastAsia="zh-CN" w:bidi="hi-IN"/>
        </w:rPr>
        <w:t xml:space="preserve"> isplaćeno </w:t>
      </w:r>
      <w:r w:rsidR="00A37D75">
        <w:rPr>
          <w:lang w:val="hr-BA" w:eastAsia="zh-CN" w:bidi="hi-IN"/>
        </w:rPr>
        <w:t xml:space="preserve">je </w:t>
      </w:r>
      <w:r w:rsidRPr="00E41A84">
        <w:rPr>
          <w:lang w:val="hr-BA" w:eastAsia="zh-CN" w:bidi="hi-IN"/>
        </w:rPr>
        <w:t xml:space="preserve">ukupno </w:t>
      </w:r>
      <w:r w:rsidRPr="005F6F10">
        <w:rPr>
          <w:lang w:val="hr-BA" w:eastAsia="zh-CN" w:bidi="hi-IN"/>
        </w:rPr>
        <w:t>3.238.901,53 KM</w:t>
      </w:r>
      <w:r w:rsidR="004C7257" w:rsidRPr="005F6F10">
        <w:rPr>
          <w:lang w:val="hr-BA" w:eastAsia="zh-CN" w:bidi="hi-IN"/>
        </w:rPr>
        <w:t xml:space="preserve"> (tabela </w:t>
      </w:r>
      <w:r w:rsidR="005F6F10" w:rsidRPr="005F6F10">
        <w:rPr>
          <w:lang w:val="hr-BA" w:eastAsia="zh-CN" w:bidi="hi-IN"/>
        </w:rPr>
        <w:t>11</w:t>
      </w:r>
      <w:r w:rsidR="004C7257" w:rsidRPr="005F6F10">
        <w:rPr>
          <w:lang w:val="hr-BA" w:eastAsia="zh-CN" w:bidi="hi-IN"/>
        </w:rPr>
        <w:t>)</w:t>
      </w:r>
      <w:r w:rsidRPr="005F6F10">
        <w:rPr>
          <w:lang w:val="hr-BA" w:eastAsia="zh-CN" w:bidi="hi-IN"/>
        </w:rPr>
        <w:t xml:space="preserve">, što je znatno veći iznos u odnosu na 2006. </w:t>
      </w:r>
      <w:r w:rsidR="00C660AF" w:rsidRPr="005F6F10">
        <w:rPr>
          <w:lang w:val="hr-BA" w:eastAsia="zh-CN" w:bidi="hi-IN"/>
        </w:rPr>
        <w:t>g</w:t>
      </w:r>
      <w:r w:rsidRPr="005F6F10">
        <w:rPr>
          <w:lang w:val="hr-BA" w:eastAsia="zh-CN" w:bidi="hi-IN"/>
        </w:rPr>
        <w:t>odin</w:t>
      </w:r>
      <w:r w:rsidR="004C7257" w:rsidRPr="005F6F10">
        <w:rPr>
          <w:lang w:val="hr-BA" w:eastAsia="zh-CN" w:bidi="hi-IN"/>
        </w:rPr>
        <w:t>u (</w:t>
      </w:r>
      <w:r w:rsidRPr="005F6F10">
        <w:rPr>
          <w:lang w:val="hr-BA" w:eastAsia="zh-CN" w:bidi="hi-IN"/>
        </w:rPr>
        <w:t>917.857,00</w:t>
      </w:r>
      <w:r w:rsidRPr="00E41A84">
        <w:rPr>
          <w:lang w:val="hr-BA" w:eastAsia="zh-CN" w:bidi="hi-IN"/>
        </w:rPr>
        <w:t xml:space="preserve"> KM</w:t>
      </w:r>
      <w:r w:rsidR="004C7257">
        <w:rPr>
          <w:lang w:val="hr-BA" w:eastAsia="zh-CN" w:bidi="hi-IN"/>
        </w:rPr>
        <w:t>)</w:t>
      </w:r>
      <w:r w:rsidRPr="00E41A84">
        <w:rPr>
          <w:lang w:val="hr-BA" w:eastAsia="zh-CN" w:bidi="hi-IN"/>
        </w:rPr>
        <w:t>.</w:t>
      </w:r>
      <w:r>
        <w:rPr>
          <w:lang w:val="hr-BA" w:eastAsia="zh-CN" w:bidi="hi-IN"/>
        </w:rPr>
        <w:t xml:space="preserve"> </w:t>
      </w:r>
    </w:p>
    <w:p w:rsidR="002B6E7B" w:rsidRPr="002B6E7B" w:rsidRDefault="00173CC4" w:rsidP="00C33393">
      <w:pPr>
        <w:pStyle w:val="GrafiTabele"/>
        <w:spacing w:before="0"/>
      </w:pPr>
      <w:r>
        <w:t>Tabela 1</w:t>
      </w:r>
      <w:r w:rsidR="005F6F10">
        <w:t>1</w:t>
      </w:r>
      <w:r w:rsidR="002B6E7B" w:rsidRPr="002B6E7B">
        <w:t>:</w:t>
      </w:r>
      <w:r w:rsidR="001A6DA8" w:rsidRPr="002B6E7B">
        <w:t xml:space="preserve"> </w:t>
      </w:r>
      <w:r w:rsidR="00914BF0">
        <w:t>B</w:t>
      </w:r>
      <w:r w:rsidR="00914BF0" w:rsidRPr="002B6E7B">
        <w:t>roj korisnika i novačni</w:t>
      </w:r>
      <w:r w:rsidR="00914BF0">
        <w:t xml:space="preserve"> </w:t>
      </w:r>
      <w:r w:rsidR="00914BF0" w:rsidRPr="002B6E7B">
        <w:t>iznos</w:t>
      </w:r>
      <w:r w:rsidR="00914BF0">
        <w:t>i</w:t>
      </w:r>
      <w:r w:rsidR="000F3D68">
        <w:t xml:space="preserve"> podrške u</w:t>
      </w:r>
      <w:r w:rsidR="001A6DA8" w:rsidRPr="002B6E7B">
        <w:t xml:space="preserve"> oblasti so</w:t>
      </w:r>
      <w:r w:rsidR="000F3D68">
        <w:t>cijalne i dječije zaštite</w:t>
      </w:r>
      <w:r w:rsidR="005F6F10">
        <w:t>,</w:t>
      </w:r>
      <w:r w:rsidR="000F3D68">
        <w:t xml:space="preserve"> 2016. </w:t>
      </w:r>
    </w:p>
    <w:tbl>
      <w:tblPr>
        <w:tblW w:w="9039" w:type="dxa"/>
        <w:jc w:val="center"/>
        <w:tblLayout w:type="fixed"/>
        <w:tblCellMar>
          <w:left w:w="10" w:type="dxa"/>
          <w:right w:w="10" w:type="dxa"/>
        </w:tblCellMar>
        <w:tblLook w:val="04A0" w:firstRow="1" w:lastRow="0" w:firstColumn="1" w:lastColumn="0" w:noHBand="0" w:noVBand="1"/>
      </w:tblPr>
      <w:tblGrid>
        <w:gridCol w:w="3675"/>
        <w:gridCol w:w="1080"/>
        <w:gridCol w:w="1080"/>
        <w:gridCol w:w="3204"/>
      </w:tblGrid>
      <w:tr w:rsidR="001A6DA8" w:rsidRPr="00914BF0" w:rsidTr="00764BCB">
        <w:trPr>
          <w:jc w:val="center"/>
        </w:trPr>
        <w:tc>
          <w:tcPr>
            <w:tcW w:w="36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A6DA8" w:rsidRPr="00914BF0" w:rsidRDefault="001A6DA8" w:rsidP="005F6F10">
            <w:pPr>
              <w:pStyle w:val="TextinTables"/>
              <w:jc w:val="center"/>
              <w:rPr>
                <w:rFonts w:eastAsia="SimSun"/>
                <w:b/>
              </w:rPr>
            </w:pPr>
            <w:r w:rsidRPr="00914BF0">
              <w:rPr>
                <w:rFonts w:eastAsia="SimSun"/>
                <w:b/>
              </w:rPr>
              <w:t>Naziv prava</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A6DA8" w:rsidRPr="00914BF0" w:rsidRDefault="001A6DA8" w:rsidP="005F6F10">
            <w:pPr>
              <w:pStyle w:val="TextinTables"/>
              <w:jc w:val="center"/>
              <w:rPr>
                <w:rFonts w:eastAsia="SimSun"/>
                <w:b/>
              </w:rPr>
            </w:pPr>
            <w:r w:rsidRPr="00914BF0">
              <w:rPr>
                <w:rFonts w:eastAsia="SimSun"/>
                <w:b/>
              </w:rPr>
              <w:t>Ukupan broj korisnika</w:t>
            </w:r>
          </w:p>
        </w:tc>
        <w:tc>
          <w:tcPr>
            <w:tcW w:w="32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A6DA8" w:rsidRPr="00914BF0" w:rsidRDefault="001A6DA8" w:rsidP="005F6F10">
            <w:pPr>
              <w:pStyle w:val="TextinTables"/>
              <w:jc w:val="center"/>
              <w:rPr>
                <w:rFonts w:eastAsia="SimSun"/>
                <w:b/>
              </w:rPr>
            </w:pPr>
            <w:r w:rsidRPr="00914BF0">
              <w:rPr>
                <w:rFonts w:eastAsia="SimSun"/>
                <w:b/>
              </w:rPr>
              <w:t>Ukupni novčani iznosi u 2016. godini u KM</w:t>
            </w:r>
          </w:p>
        </w:tc>
      </w:tr>
      <w:tr w:rsidR="001A6DA8" w:rsidRPr="00047CE3" w:rsidTr="00764BCB">
        <w:trPr>
          <w:trHeight w:val="521"/>
          <w:jc w:val="center"/>
        </w:trPr>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047CE3" w:rsidRDefault="001A6DA8" w:rsidP="005F6F10">
            <w:pPr>
              <w:pStyle w:val="TextinTables"/>
              <w:rPr>
                <w:rFonts w:eastAsia="SimSun"/>
              </w:rPr>
            </w:pPr>
            <w:r w:rsidRPr="00047CE3">
              <w:rPr>
                <w:rFonts w:eastAsia="SimSun"/>
              </w:rPr>
              <w:t>Dječiji dodatak</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047CE3" w:rsidRDefault="001A6DA8" w:rsidP="005F6F10">
            <w:pPr>
              <w:pStyle w:val="TextinTables"/>
              <w:jc w:val="center"/>
              <w:rPr>
                <w:rFonts w:eastAsia="SimSun"/>
              </w:rPr>
            </w:pPr>
            <w:r w:rsidRPr="00047CE3">
              <w:rPr>
                <w:rFonts w:eastAsia="SimSun"/>
              </w:rPr>
              <w:t>Roditelja</w:t>
            </w:r>
          </w:p>
          <w:p w:rsidR="001A6DA8" w:rsidRPr="00047CE3" w:rsidRDefault="001A6DA8" w:rsidP="005F6F10">
            <w:pPr>
              <w:pStyle w:val="TextinTables"/>
              <w:jc w:val="center"/>
              <w:rPr>
                <w:rFonts w:eastAsia="SimSun"/>
              </w:rPr>
            </w:pPr>
            <w:r w:rsidRPr="00047CE3">
              <w:rPr>
                <w:rFonts w:eastAsia="SimSun"/>
              </w:rPr>
              <w:t>1059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047CE3" w:rsidRDefault="001A6DA8" w:rsidP="005F6F10">
            <w:pPr>
              <w:pStyle w:val="TextinTables"/>
              <w:jc w:val="center"/>
              <w:rPr>
                <w:rFonts w:eastAsia="SimSun"/>
              </w:rPr>
            </w:pPr>
            <w:r w:rsidRPr="00047CE3">
              <w:rPr>
                <w:rFonts w:eastAsia="SimSun"/>
              </w:rPr>
              <w:t>Djece</w:t>
            </w:r>
          </w:p>
          <w:p w:rsidR="001A6DA8" w:rsidRPr="00047CE3" w:rsidRDefault="001A6DA8" w:rsidP="005F6F10">
            <w:pPr>
              <w:pStyle w:val="TextinTables"/>
              <w:jc w:val="center"/>
              <w:rPr>
                <w:rFonts w:eastAsia="SimSun"/>
              </w:rPr>
            </w:pPr>
            <w:r w:rsidRPr="00047CE3">
              <w:rPr>
                <w:rFonts w:eastAsia="SimSun"/>
              </w:rPr>
              <w:t>1795</w:t>
            </w:r>
          </w:p>
        </w:tc>
        <w:tc>
          <w:tcPr>
            <w:tcW w:w="3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534.000,00</w:t>
            </w:r>
          </w:p>
        </w:tc>
      </w:tr>
      <w:tr w:rsidR="001A6DA8" w:rsidRPr="00047CE3" w:rsidTr="00764BCB">
        <w:trPr>
          <w:jc w:val="center"/>
        </w:trPr>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047CE3" w:rsidRDefault="001A6DA8" w:rsidP="005F6F10">
            <w:pPr>
              <w:pStyle w:val="TextinTables"/>
              <w:rPr>
                <w:rFonts w:eastAsia="SimSun"/>
                <w:color w:val="000000"/>
              </w:rPr>
            </w:pPr>
            <w:r w:rsidRPr="00047CE3">
              <w:rPr>
                <w:rFonts w:eastAsia="SimSun"/>
                <w:color w:val="000000"/>
              </w:rPr>
              <w:t>Naknada za porodilje na Birou</w:t>
            </w:r>
          </w:p>
        </w:tc>
        <w:tc>
          <w:tcPr>
            <w:tcW w:w="21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color w:val="000000"/>
              </w:rPr>
            </w:pPr>
            <w:r w:rsidRPr="00047CE3">
              <w:rPr>
                <w:rFonts w:eastAsia="SimSun"/>
                <w:color w:val="000000"/>
              </w:rPr>
              <w:t>115</w:t>
            </w:r>
          </w:p>
        </w:tc>
        <w:tc>
          <w:tcPr>
            <w:tcW w:w="3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color w:val="000000"/>
              </w:rPr>
            </w:pPr>
            <w:r w:rsidRPr="00047CE3">
              <w:rPr>
                <w:rFonts w:eastAsia="SimSun"/>
                <w:color w:val="000000"/>
              </w:rPr>
              <w:t>16.844,05</w:t>
            </w:r>
          </w:p>
        </w:tc>
      </w:tr>
      <w:tr w:rsidR="001A6DA8" w:rsidRPr="00047CE3" w:rsidTr="00764BCB">
        <w:trPr>
          <w:jc w:val="center"/>
        </w:trPr>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047CE3" w:rsidRDefault="001A6DA8" w:rsidP="005F6F10">
            <w:pPr>
              <w:pStyle w:val="TextinTables"/>
              <w:rPr>
                <w:rFonts w:eastAsia="SimSun"/>
                <w:color w:val="000000"/>
              </w:rPr>
            </w:pPr>
            <w:r w:rsidRPr="00047CE3">
              <w:rPr>
                <w:rFonts w:eastAsia="SimSun"/>
                <w:color w:val="000000"/>
              </w:rPr>
              <w:t>Naknada za porodilje u radnom odnosu</w:t>
            </w:r>
          </w:p>
        </w:tc>
        <w:tc>
          <w:tcPr>
            <w:tcW w:w="21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color w:val="000000"/>
              </w:rPr>
            </w:pPr>
            <w:r w:rsidRPr="00047CE3">
              <w:rPr>
                <w:rFonts w:eastAsia="SimSun"/>
                <w:color w:val="000000"/>
              </w:rPr>
              <w:t>38</w:t>
            </w:r>
          </w:p>
        </w:tc>
        <w:tc>
          <w:tcPr>
            <w:tcW w:w="3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color w:val="000000"/>
              </w:rPr>
            </w:pPr>
            <w:r w:rsidRPr="00047CE3">
              <w:rPr>
                <w:rFonts w:eastAsia="SimSun"/>
                <w:color w:val="000000"/>
              </w:rPr>
              <w:t>Minimalna naknada</w:t>
            </w:r>
            <w:r w:rsidR="00764BCB">
              <w:rPr>
                <w:rFonts w:eastAsia="SimSun"/>
                <w:color w:val="000000"/>
              </w:rPr>
              <w:t>:</w:t>
            </w:r>
            <w:r w:rsidRPr="00047CE3">
              <w:rPr>
                <w:rFonts w:eastAsia="SimSun"/>
                <w:color w:val="000000"/>
              </w:rPr>
              <w:t xml:space="preserve"> 412,00</w:t>
            </w:r>
            <w:r w:rsidR="000F3D68">
              <w:rPr>
                <w:rFonts w:eastAsia="SimSun"/>
                <w:color w:val="000000"/>
              </w:rPr>
              <w:t xml:space="preserve"> </w:t>
            </w:r>
            <w:r w:rsidRPr="00047CE3">
              <w:rPr>
                <w:rFonts w:eastAsia="SimSun"/>
                <w:color w:val="000000"/>
              </w:rPr>
              <w:t>KM</w:t>
            </w:r>
          </w:p>
          <w:p w:rsidR="001A6DA8" w:rsidRPr="00047CE3" w:rsidRDefault="00764BCB" w:rsidP="005F6F10">
            <w:pPr>
              <w:pStyle w:val="TextinTables"/>
              <w:jc w:val="center"/>
              <w:rPr>
                <w:rFonts w:eastAsia="SimSun"/>
                <w:color w:val="000000"/>
              </w:rPr>
            </w:pPr>
            <w:r>
              <w:rPr>
                <w:rFonts w:eastAsia="SimSun"/>
                <w:color w:val="000000"/>
              </w:rPr>
              <w:t>Maksimalna naknada:</w:t>
            </w:r>
            <w:r w:rsidR="001A6DA8" w:rsidRPr="00047CE3">
              <w:rPr>
                <w:rFonts w:eastAsia="SimSun"/>
                <w:color w:val="000000"/>
              </w:rPr>
              <w:t xml:space="preserve"> 744 KM</w:t>
            </w:r>
          </w:p>
        </w:tc>
      </w:tr>
      <w:tr w:rsidR="001A6DA8" w:rsidRPr="00047CE3" w:rsidTr="00764BCB">
        <w:trPr>
          <w:jc w:val="center"/>
        </w:trPr>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047CE3" w:rsidRDefault="001A6DA8" w:rsidP="005F6F10">
            <w:pPr>
              <w:pStyle w:val="TextinTables"/>
              <w:rPr>
                <w:rFonts w:eastAsia="SimSun"/>
              </w:rPr>
            </w:pPr>
            <w:r w:rsidRPr="00047CE3">
              <w:rPr>
                <w:rFonts w:eastAsia="SimSun"/>
              </w:rPr>
              <w:t>Uvećani dječiji dodatak</w:t>
            </w:r>
          </w:p>
        </w:tc>
        <w:tc>
          <w:tcPr>
            <w:tcW w:w="21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106</w:t>
            </w:r>
          </w:p>
        </w:tc>
        <w:tc>
          <w:tcPr>
            <w:tcW w:w="3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63.600,00</w:t>
            </w:r>
          </w:p>
        </w:tc>
      </w:tr>
      <w:tr w:rsidR="001A6DA8" w:rsidRPr="00047CE3" w:rsidTr="00764BCB">
        <w:trPr>
          <w:jc w:val="center"/>
        </w:trPr>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047CE3" w:rsidRDefault="001A6DA8" w:rsidP="005F6F10">
            <w:pPr>
              <w:pStyle w:val="TextinTables"/>
              <w:rPr>
                <w:rFonts w:eastAsia="SimSun"/>
              </w:rPr>
            </w:pPr>
            <w:r w:rsidRPr="00047CE3">
              <w:rPr>
                <w:rFonts w:eastAsia="SimSun"/>
              </w:rPr>
              <w:t>Jednokratne novčane pomoći</w:t>
            </w:r>
          </w:p>
        </w:tc>
        <w:tc>
          <w:tcPr>
            <w:tcW w:w="21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283</w:t>
            </w:r>
          </w:p>
        </w:tc>
        <w:tc>
          <w:tcPr>
            <w:tcW w:w="3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25.346,88</w:t>
            </w:r>
          </w:p>
        </w:tc>
      </w:tr>
      <w:tr w:rsidR="001A6DA8" w:rsidRPr="00047CE3" w:rsidTr="00764BCB">
        <w:trPr>
          <w:trHeight w:val="329"/>
          <w:jc w:val="center"/>
        </w:trPr>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047CE3" w:rsidRDefault="001A6DA8" w:rsidP="005F6F10">
            <w:pPr>
              <w:pStyle w:val="TextinTables"/>
              <w:rPr>
                <w:rFonts w:eastAsia="SimSun"/>
              </w:rPr>
            </w:pPr>
            <w:r w:rsidRPr="00047CE3">
              <w:rPr>
                <w:rFonts w:eastAsia="SimSun"/>
                <w:bCs/>
                <w:iCs/>
              </w:rPr>
              <w:t>Smještaj u drugu porodicu</w:t>
            </w:r>
            <w:r w:rsidRPr="00047CE3">
              <w:rPr>
                <w:rFonts w:eastAsia="SimSun"/>
                <w:iCs/>
              </w:rPr>
              <w:t> </w:t>
            </w:r>
          </w:p>
        </w:tc>
        <w:tc>
          <w:tcPr>
            <w:tcW w:w="21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5</w:t>
            </w:r>
          </w:p>
        </w:tc>
        <w:tc>
          <w:tcPr>
            <w:tcW w:w="3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26.520,00</w:t>
            </w:r>
          </w:p>
        </w:tc>
      </w:tr>
      <w:tr w:rsidR="001A6DA8" w:rsidRPr="00047CE3" w:rsidTr="00764BCB">
        <w:trPr>
          <w:trHeight w:val="300"/>
          <w:jc w:val="center"/>
        </w:trPr>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047CE3" w:rsidRDefault="001A6DA8" w:rsidP="005F6F10">
            <w:pPr>
              <w:pStyle w:val="TextinTables"/>
              <w:rPr>
                <w:rFonts w:eastAsia="SimSun"/>
              </w:rPr>
            </w:pPr>
            <w:r w:rsidRPr="00047CE3">
              <w:rPr>
                <w:rFonts w:eastAsia="SimSun"/>
                <w:bCs/>
                <w:iCs/>
              </w:rPr>
              <w:t>Smještaj u ustanovu soc. zaštite</w:t>
            </w:r>
          </w:p>
        </w:tc>
        <w:tc>
          <w:tcPr>
            <w:tcW w:w="21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26</w:t>
            </w:r>
          </w:p>
        </w:tc>
        <w:tc>
          <w:tcPr>
            <w:tcW w:w="3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b/>
              </w:rPr>
            </w:pPr>
            <w:r w:rsidRPr="00047CE3">
              <w:rPr>
                <w:rFonts w:eastAsia="SimSun"/>
                <w:b/>
              </w:rPr>
              <w:t>-</w:t>
            </w:r>
          </w:p>
        </w:tc>
      </w:tr>
      <w:tr w:rsidR="001A6DA8" w:rsidRPr="00047CE3" w:rsidTr="00764BCB">
        <w:trPr>
          <w:trHeight w:val="237"/>
          <w:jc w:val="center"/>
        </w:trPr>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047CE3" w:rsidRDefault="001A6DA8" w:rsidP="005F6F10">
            <w:pPr>
              <w:pStyle w:val="TextinTables"/>
              <w:rPr>
                <w:rFonts w:eastAsia="SimSun"/>
                <w:bCs/>
                <w:iCs/>
              </w:rPr>
            </w:pPr>
            <w:r w:rsidRPr="00047CE3">
              <w:rPr>
                <w:rFonts w:eastAsia="SimSun"/>
                <w:bCs/>
                <w:iCs/>
              </w:rPr>
              <w:t>Kategorizacija djece</w:t>
            </w:r>
          </w:p>
        </w:tc>
        <w:tc>
          <w:tcPr>
            <w:tcW w:w="21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23</w:t>
            </w:r>
          </w:p>
        </w:tc>
        <w:tc>
          <w:tcPr>
            <w:tcW w:w="3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b/>
              </w:rPr>
            </w:pPr>
            <w:r w:rsidRPr="00047CE3">
              <w:rPr>
                <w:rFonts w:eastAsia="SimSun"/>
                <w:b/>
              </w:rPr>
              <w:t>-</w:t>
            </w:r>
          </w:p>
        </w:tc>
      </w:tr>
      <w:tr w:rsidR="001A6DA8" w:rsidRPr="00047CE3" w:rsidTr="00764BCB">
        <w:trPr>
          <w:trHeight w:val="305"/>
          <w:jc w:val="center"/>
        </w:trPr>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0DF9" w:rsidRDefault="001A6DA8" w:rsidP="005F6F10">
            <w:pPr>
              <w:pStyle w:val="TextinTables"/>
              <w:rPr>
                <w:rFonts w:eastAsia="SimSun"/>
              </w:rPr>
            </w:pPr>
            <w:r w:rsidRPr="00047CE3">
              <w:rPr>
                <w:rFonts w:eastAsia="SimSun"/>
              </w:rPr>
              <w:t xml:space="preserve">Zdravstveno osiguranje </w:t>
            </w:r>
          </w:p>
          <w:p w:rsidR="001A6DA8" w:rsidRPr="00047CE3" w:rsidRDefault="001A6DA8" w:rsidP="005F6F10">
            <w:pPr>
              <w:pStyle w:val="TextinTables"/>
              <w:rPr>
                <w:rFonts w:eastAsia="SimSun"/>
              </w:rPr>
            </w:pPr>
            <w:r w:rsidRPr="00047CE3">
              <w:rPr>
                <w:rFonts w:eastAsia="SimSun"/>
              </w:rPr>
              <w:t>(djeca do 6.</w:t>
            </w:r>
            <w:r w:rsidR="00F40DF9">
              <w:rPr>
                <w:rFonts w:eastAsia="SimSun"/>
              </w:rPr>
              <w:t xml:space="preserve"> </w:t>
            </w:r>
            <w:r w:rsidRPr="00047CE3">
              <w:rPr>
                <w:rFonts w:eastAsia="SimSun"/>
              </w:rPr>
              <w:t>godine)</w:t>
            </w:r>
          </w:p>
        </w:tc>
        <w:tc>
          <w:tcPr>
            <w:tcW w:w="21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42</w:t>
            </w:r>
          </w:p>
        </w:tc>
        <w:tc>
          <w:tcPr>
            <w:tcW w:w="3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6.048,00</w:t>
            </w:r>
          </w:p>
        </w:tc>
      </w:tr>
      <w:tr w:rsidR="001A6DA8" w:rsidRPr="00047CE3" w:rsidTr="00764BCB">
        <w:trPr>
          <w:jc w:val="center"/>
        </w:trPr>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0DF9" w:rsidRDefault="001A6DA8" w:rsidP="005F6F10">
            <w:pPr>
              <w:pStyle w:val="TextinTables"/>
              <w:rPr>
                <w:rFonts w:eastAsia="SimSun"/>
              </w:rPr>
            </w:pPr>
            <w:r w:rsidRPr="00047CE3">
              <w:rPr>
                <w:rFonts w:eastAsia="SimSun"/>
              </w:rPr>
              <w:t xml:space="preserve">Zdravstveno osiguranje </w:t>
            </w:r>
          </w:p>
          <w:p w:rsidR="001A6DA8" w:rsidRPr="00047CE3" w:rsidRDefault="001A6DA8" w:rsidP="005F6F10">
            <w:pPr>
              <w:pStyle w:val="TextinTables"/>
              <w:rPr>
                <w:rFonts w:eastAsia="SimSun"/>
              </w:rPr>
            </w:pPr>
            <w:r w:rsidRPr="00047CE3">
              <w:rPr>
                <w:rFonts w:eastAsia="SimSun"/>
              </w:rPr>
              <w:t>(lica starija od 65.</w:t>
            </w:r>
            <w:r w:rsidR="00F40DF9">
              <w:rPr>
                <w:rFonts w:eastAsia="SimSun"/>
              </w:rPr>
              <w:t xml:space="preserve"> </w:t>
            </w:r>
            <w:r w:rsidRPr="00047CE3">
              <w:rPr>
                <w:rFonts w:eastAsia="SimSun"/>
              </w:rPr>
              <w:t>godina)</w:t>
            </w:r>
          </w:p>
        </w:tc>
        <w:tc>
          <w:tcPr>
            <w:tcW w:w="21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228</w:t>
            </w:r>
          </w:p>
        </w:tc>
        <w:tc>
          <w:tcPr>
            <w:tcW w:w="3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32.448,96</w:t>
            </w:r>
          </w:p>
        </w:tc>
      </w:tr>
      <w:tr w:rsidR="001A6DA8" w:rsidRPr="00047CE3" w:rsidTr="00764BCB">
        <w:trPr>
          <w:jc w:val="center"/>
        </w:trPr>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047CE3" w:rsidRDefault="001A6DA8" w:rsidP="005F6F10">
            <w:pPr>
              <w:pStyle w:val="TextinTables"/>
              <w:rPr>
                <w:rFonts w:eastAsia="SimSun"/>
                <w:bCs/>
                <w:iCs/>
              </w:rPr>
            </w:pPr>
            <w:r w:rsidRPr="00047CE3">
              <w:rPr>
                <w:rFonts w:eastAsia="SimSun"/>
                <w:bCs/>
                <w:iCs/>
              </w:rPr>
              <w:t>Nasilje u porodici</w:t>
            </w:r>
          </w:p>
        </w:tc>
        <w:tc>
          <w:tcPr>
            <w:tcW w:w="21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43</w:t>
            </w:r>
          </w:p>
        </w:tc>
        <w:tc>
          <w:tcPr>
            <w:tcW w:w="3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w:t>
            </w:r>
          </w:p>
        </w:tc>
      </w:tr>
      <w:tr w:rsidR="001A6DA8" w:rsidRPr="00047CE3" w:rsidTr="00764BCB">
        <w:trPr>
          <w:trHeight w:val="237"/>
          <w:jc w:val="center"/>
        </w:trPr>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047CE3" w:rsidRDefault="001A6DA8" w:rsidP="005F6F10">
            <w:pPr>
              <w:pStyle w:val="TextinTables"/>
              <w:rPr>
                <w:rFonts w:eastAsia="SimSun"/>
              </w:rPr>
            </w:pPr>
            <w:r w:rsidRPr="00047CE3">
              <w:rPr>
                <w:rFonts w:eastAsia="SimSun"/>
              </w:rPr>
              <w:t>NI- neratni invalidi, lična invalidnina, dodatak za njegu i pomoć i OTO</w:t>
            </w:r>
          </w:p>
        </w:tc>
        <w:tc>
          <w:tcPr>
            <w:tcW w:w="21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505</w:t>
            </w:r>
          </w:p>
        </w:tc>
        <w:tc>
          <w:tcPr>
            <w:tcW w:w="3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1.480.038.72</w:t>
            </w:r>
          </w:p>
        </w:tc>
      </w:tr>
      <w:tr w:rsidR="001A6DA8" w:rsidRPr="00047CE3" w:rsidTr="00764BCB">
        <w:trPr>
          <w:jc w:val="center"/>
        </w:trPr>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047CE3" w:rsidRDefault="001A6DA8" w:rsidP="005F6F10">
            <w:pPr>
              <w:pStyle w:val="TextinTables"/>
              <w:rPr>
                <w:rFonts w:eastAsia="SimSun"/>
                <w:bCs/>
                <w:iCs/>
              </w:rPr>
            </w:pPr>
            <w:r w:rsidRPr="00047CE3">
              <w:rPr>
                <w:rFonts w:eastAsia="SimSun"/>
                <w:bCs/>
                <w:iCs/>
              </w:rPr>
              <w:t>Subvencioniranje troškova prevoza za učenike, studente i pratioce</w:t>
            </w:r>
          </w:p>
        </w:tc>
        <w:tc>
          <w:tcPr>
            <w:tcW w:w="21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85</w:t>
            </w:r>
          </w:p>
        </w:tc>
        <w:tc>
          <w:tcPr>
            <w:tcW w:w="3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88.084,00</w:t>
            </w:r>
          </w:p>
        </w:tc>
      </w:tr>
      <w:tr w:rsidR="001A6DA8" w:rsidRPr="00047CE3" w:rsidTr="00764BCB">
        <w:trPr>
          <w:trHeight w:val="237"/>
          <w:jc w:val="center"/>
        </w:trPr>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047CE3" w:rsidRDefault="001A6DA8" w:rsidP="005F6F10">
            <w:pPr>
              <w:pStyle w:val="TextinTables"/>
              <w:rPr>
                <w:rFonts w:eastAsia="SimSun"/>
              </w:rPr>
            </w:pPr>
            <w:r w:rsidRPr="00047CE3">
              <w:rPr>
                <w:rFonts w:eastAsia="SimSun"/>
                <w:bCs/>
                <w:iCs/>
              </w:rPr>
              <w:t>Stalna novčana pomoć</w:t>
            </w:r>
            <w:r w:rsidRPr="00047CE3">
              <w:rPr>
                <w:rFonts w:eastAsia="SimSun"/>
                <w:iCs/>
              </w:rPr>
              <w:t> </w:t>
            </w:r>
          </w:p>
        </w:tc>
        <w:tc>
          <w:tcPr>
            <w:tcW w:w="21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272</w:t>
            </w:r>
          </w:p>
        </w:tc>
        <w:tc>
          <w:tcPr>
            <w:tcW w:w="3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420.480,00</w:t>
            </w:r>
          </w:p>
        </w:tc>
      </w:tr>
      <w:tr w:rsidR="001A6DA8" w:rsidRPr="00047CE3" w:rsidTr="00764BCB">
        <w:trPr>
          <w:trHeight w:val="237"/>
          <w:jc w:val="center"/>
        </w:trPr>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047CE3" w:rsidRDefault="001A6DA8" w:rsidP="005F6F10">
            <w:pPr>
              <w:pStyle w:val="TextinTables"/>
              <w:rPr>
                <w:rFonts w:eastAsia="SimSun"/>
              </w:rPr>
            </w:pPr>
            <w:r w:rsidRPr="00047CE3">
              <w:rPr>
                <w:rFonts w:eastAsia="SimSun"/>
                <w:iCs/>
              </w:rPr>
              <w:t>Troškovi dženaze-sahrane </w:t>
            </w:r>
          </w:p>
        </w:tc>
        <w:tc>
          <w:tcPr>
            <w:tcW w:w="21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37</w:t>
            </w:r>
          </w:p>
        </w:tc>
        <w:tc>
          <w:tcPr>
            <w:tcW w:w="3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18.500,00</w:t>
            </w:r>
          </w:p>
        </w:tc>
      </w:tr>
      <w:tr w:rsidR="001A6DA8" w:rsidRPr="00047CE3" w:rsidTr="00764BCB">
        <w:trPr>
          <w:trHeight w:val="237"/>
          <w:jc w:val="center"/>
        </w:trPr>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047CE3" w:rsidRDefault="001A6DA8" w:rsidP="005F6F10">
            <w:pPr>
              <w:pStyle w:val="TextinTables"/>
              <w:rPr>
                <w:rFonts w:eastAsia="SimSun"/>
              </w:rPr>
            </w:pPr>
            <w:r w:rsidRPr="00047CE3">
              <w:rPr>
                <w:rFonts w:eastAsia="SimSun"/>
              </w:rPr>
              <w:t>Civilne žrtve rata</w:t>
            </w:r>
          </w:p>
        </w:tc>
        <w:tc>
          <w:tcPr>
            <w:tcW w:w="21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142</w:t>
            </w:r>
          </w:p>
        </w:tc>
        <w:tc>
          <w:tcPr>
            <w:tcW w:w="3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047CE3" w:rsidRDefault="001A6DA8" w:rsidP="005F6F10">
            <w:pPr>
              <w:pStyle w:val="TextinTables"/>
              <w:jc w:val="center"/>
              <w:rPr>
                <w:rFonts w:eastAsia="SimSun"/>
              </w:rPr>
            </w:pPr>
            <w:r w:rsidRPr="00047CE3">
              <w:rPr>
                <w:rFonts w:eastAsia="SimSun"/>
              </w:rPr>
              <w:t>526.990.92</w:t>
            </w:r>
          </w:p>
        </w:tc>
      </w:tr>
      <w:tr w:rsidR="001A6DA8" w:rsidRPr="000F3D68" w:rsidTr="00764BCB">
        <w:trPr>
          <w:trHeight w:val="237"/>
          <w:jc w:val="center"/>
        </w:trPr>
        <w:tc>
          <w:tcPr>
            <w:tcW w:w="36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A6DA8" w:rsidRPr="000F3D68" w:rsidRDefault="001A6DA8" w:rsidP="005F6F10">
            <w:pPr>
              <w:pStyle w:val="TextinTables"/>
              <w:rPr>
                <w:rFonts w:eastAsia="SimSun"/>
                <w:b/>
              </w:rPr>
            </w:pPr>
            <w:r w:rsidRPr="000F3D68">
              <w:rPr>
                <w:rFonts w:eastAsia="SimSun"/>
                <w:b/>
              </w:rPr>
              <w:t>UKUPNO</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A6DA8" w:rsidRPr="000F3D68" w:rsidRDefault="001A6DA8" w:rsidP="005F6F10">
            <w:pPr>
              <w:pStyle w:val="TextinTables"/>
              <w:jc w:val="center"/>
              <w:rPr>
                <w:rFonts w:eastAsia="SimSun"/>
                <w:b/>
              </w:rPr>
            </w:pPr>
            <w:r w:rsidRPr="000F3D68">
              <w:rPr>
                <w:rFonts w:eastAsia="SimSun"/>
                <w:b/>
              </w:rPr>
              <w:t>3707</w:t>
            </w:r>
          </w:p>
        </w:tc>
        <w:tc>
          <w:tcPr>
            <w:tcW w:w="32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A6DA8" w:rsidRPr="000F3D68" w:rsidRDefault="001A6DA8" w:rsidP="005F6F10">
            <w:pPr>
              <w:pStyle w:val="TextinTables"/>
              <w:jc w:val="center"/>
              <w:rPr>
                <w:rFonts w:eastAsia="SimSun"/>
                <w:b/>
              </w:rPr>
            </w:pPr>
            <w:r w:rsidRPr="000F3D68">
              <w:rPr>
                <w:rFonts w:eastAsia="SimSun"/>
                <w:b/>
              </w:rPr>
              <w:t>3.238.901,53</w:t>
            </w:r>
          </w:p>
        </w:tc>
      </w:tr>
    </w:tbl>
    <w:p w:rsidR="001A6DA8" w:rsidRPr="00F40DF9" w:rsidRDefault="00BC7C4C" w:rsidP="00F40DF9">
      <w:pPr>
        <w:pStyle w:val="Izvorpodataka"/>
      </w:pPr>
      <w:r w:rsidRPr="00F40DF9">
        <w:t>Izvor:</w:t>
      </w:r>
      <w:r w:rsidR="006D4D65" w:rsidRPr="00F40DF9">
        <w:t xml:space="preserve"> Centar za socijalni rad općina  Kalesija </w:t>
      </w:r>
    </w:p>
    <w:p w:rsidR="00092E44" w:rsidRPr="00A01D01" w:rsidRDefault="001A6DA8" w:rsidP="00A01D01">
      <w:pPr>
        <w:rPr>
          <w:lang w:val="hr-BA" w:eastAsia="zh-CN"/>
        </w:rPr>
      </w:pPr>
      <w:r w:rsidRPr="00F40DF9">
        <w:rPr>
          <w:lang w:val="hr-BA" w:eastAsia="zh-CN"/>
        </w:rPr>
        <w:lastRenderedPageBreak/>
        <w:t>Centar za socijalni rad je višefunkcionalna općinska ustanova socijalne zaštite,</w:t>
      </w:r>
      <w:r w:rsidRPr="00F42328">
        <w:rPr>
          <w:lang w:val="hr-BA" w:eastAsia="zh-CN"/>
        </w:rPr>
        <w:t xml:space="preserve"> koja na </w:t>
      </w:r>
      <w:r w:rsidRPr="009E3DF4">
        <w:rPr>
          <w:lang w:val="hr-BA" w:eastAsia="zh-CN"/>
        </w:rPr>
        <w:t>principima savremenog stručnog socijalnog rada organizira, supervizira i provodi ciljeve</w:t>
      </w:r>
      <w:r w:rsidRPr="00F42328">
        <w:rPr>
          <w:lang w:val="hr-BA" w:eastAsia="zh-CN"/>
        </w:rPr>
        <w:t xml:space="preserve"> socijalne zaštite. Uloge i zadatke </w:t>
      </w:r>
      <w:r w:rsidR="00D0069C">
        <w:rPr>
          <w:lang w:val="hr-BA" w:eastAsia="zh-CN"/>
        </w:rPr>
        <w:t>Centar</w:t>
      </w:r>
      <w:r w:rsidRPr="00F42328">
        <w:rPr>
          <w:lang w:val="hr-BA" w:eastAsia="zh-CN"/>
        </w:rPr>
        <w:t xml:space="preserve"> za socijalni rad ostvaruj</w:t>
      </w:r>
      <w:r w:rsidR="00D0069C">
        <w:rPr>
          <w:lang w:val="hr-BA" w:eastAsia="zh-CN"/>
        </w:rPr>
        <w:t>e</w:t>
      </w:r>
      <w:r w:rsidRPr="00F42328">
        <w:rPr>
          <w:lang w:val="hr-BA" w:eastAsia="zh-CN"/>
        </w:rPr>
        <w:t xml:space="preserve"> putem svoje organizacije, odnosno putem svojih organizacionih jedinica, službi i referata. </w:t>
      </w:r>
      <w:r w:rsidR="00D0069C" w:rsidRPr="00D0069C">
        <w:rPr>
          <w:lang w:val="hr-BA" w:eastAsia="zh-CN"/>
        </w:rPr>
        <w:t>Nakon što se provede postupak prilagodbe internih akata Centra u skladu sa ZOR-u Federacije BiH, odnosno akti donesu u skladu sa Pravilnikom o standardima za rad i pružanje usluga u ustanovama socijalne zaštite u Federaciji BiH, bit će nužno donijeti plan razvoja općinskog Centra</w:t>
      </w:r>
      <w:r w:rsidR="00D0069C">
        <w:rPr>
          <w:lang w:val="hr-BA" w:eastAsia="zh-CN"/>
        </w:rPr>
        <w:t>,</w:t>
      </w:r>
      <w:r w:rsidR="00D0069C" w:rsidRPr="00D0069C">
        <w:rPr>
          <w:lang w:val="hr-BA" w:eastAsia="zh-CN"/>
        </w:rPr>
        <w:t xml:space="preserve"> sa aspekta </w:t>
      </w:r>
      <w:r w:rsidR="009E3DF4">
        <w:rPr>
          <w:lang w:val="hr-BA" w:eastAsia="zh-CN"/>
        </w:rPr>
        <w:t>poboljšanja prostornih i</w:t>
      </w:r>
      <w:r w:rsidR="00D0069C" w:rsidRPr="00D0069C">
        <w:rPr>
          <w:lang w:val="hr-BA" w:eastAsia="zh-CN"/>
        </w:rPr>
        <w:t xml:space="preserve"> materijalnih</w:t>
      </w:r>
      <w:r w:rsidR="009E3DF4">
        <w:rPr>
          <w:lang w:val="hr-BA" w:eastAsia="zh-CN"/>
        </w:rPr>
        <w:t xml:space="preserve"> uslova za rad</w:t>
      </w:r>
      <w:r w:rsidR="00D0069C" w:rsidRPr="00D0069C">
        <w:rPr>
          <w:lang w:val="hr-BA" w:eastAsia="zh-CN"/>
        </w:rPr>
        <w:t xml:space="preserve"> i </w:t>
      </w:r>
      <w:r w:rsidR="009E3DF4">
        <w:rPr>
          <w:lang w:val="hr-BA" w:eastAsia="zh-CN"/>
        </w:rPr>
        <w:t xml:space="preserve">kadrovske strukture (postojeća </w:t>
      </w:r>
      <w:r w:rsidR="009E3DF4" w:rsidRPr="005F6F10">
        <w:rPr>
          <w:lang w:val="hr-BA" w:eastAsia="zh-CN"/>
        </w:rPr>
        <w:t xml:space="preserve">struktura osoblja JU CSR Kalesija prikazana u tabeli </w:t>
      </w:r>
      <w:r w:rsidR="005F6F10" w:rsidRPr="005F6F10">
        <w:rPr>
          <w:lang w:val="hr-BA" w:eastAsia="zh-CN"/>
        </w:rPr>
        <w:t>12</w:t>
      </w:r>
      <w:r w:rsidR="009E3DF4" w:rsidRPr="005F6F10">
        <w:rPr>
          <w:lang w:val="hr-BA" w:eastAsia="zh-CN"/>
        </w:rPr>
        <w:t>)</w:t>
      </w:r>
      <w:r w:rsidR="00D0069C" w:rsidRPr="005F6F10">
        <w:rPr>
          <w:lang w:val="hr-BA" w:eastAsia="zh-CN"/>
        </w:rPr>
        <w:t>.</w:t>
      </w:r>
    </w:p>
    <w:p w:rsidR="001A6DA8" w:rsidRPr="00D03BB4" w:rsidRDefault="001A6DA8" w:rsidP="00451827">
      <w:pPr>
        <w:pStyle w:val="GrafiTabele"/>
      </w:pPr>
      <w:r w:rsidRPr="00D03BB4">
        <w:rPr>
          <w:i/>
        </w:rPr>
        <w:t xml:space="preserve">Tabela </w:t>
      </w:r>
      <w:r w:rsidR="00173CC4">
        <w:rPr>
          <w:i/>
        </w:rPr>
        <w:t>1</w:t>
      </w:r>
      <w:r w:rsidR="005F6F10">
        <w:rPr>
          <w:i/>
        </w:rPr>
        <w:t>2</w:t>
      </w:r>
      <w:r w:rsidR="00D03BB4">
        <w:rPr>
          <w:i/>
        </w:rPr>
        <w:t xml:space="preserve">: </w:t>
      </w:r>
      <w:r w:rsidRPr="00D03BB4">
        <w:t>Profil zanimanja stručnih radnika u JU Centru za socijalni rad Kalesija</w:t>
      </w:r>
      <w:r w:rsidR="005F6F10">
        <w:t>,</w:t>
      </w:r>
      <w:r w:rsidRPr="00D03BB4">
        <w:t xml:space="preserve"> 2016. </w:t>
      </w:r>
    </w:p>
    <w:tbl>
      <w:tblPr>
        <w:tblW w:w="6888" w:type="dxa"/>
        <w:jc w:val="center"/>
        <w:tblLayout w:type="fixed"/>
        <w:tblCellMar>
          <w:left w:w="10" w:type="dxa"/>
          <w:right w:w="10" w:type="dxa"/>
        </w:tblCellMar>
        <w:tblLook w:val="04A0" w:firstRow="1" w:lastRow="0" w:firstColumn="1" w:lastColumn="0" w:noHBand="0" w:noVBand="1"/>
      </w:tblPr>
      <w:tblGrid>
        <w:gridCol w:w="3437"/>
        <w:gridCol w:w="3440"/>
        <w:gridCol w:w="11"/>
      </w:tblGrid>
      <w:tr w:rsidR="001A6DA8" w:rsidRPr="00451827" w:rsidTr="0007477E">
        <w:trPr>
          <w:jc w:val="center"/>
        </w:trPr>
        <w:tc>
          <w:tcPr>
            <w:tcW w:w="3437" w:type="dxa"/>
            <w:tcBorders>
              <w:top w:val="single" w:sz="4" w:space="0" w:color="000000"/>
              <w:left w:val="single" w:sz="4" w:space="0" w:color="000000"/>
              <w:bottom w:val="single" w:sz="8" w:space="0" w:color="000000"/>
              <w:right w:val="single" w:sz="4" w:space="0" w:color="000000"/>
            </w:tcBorders>
            <w:shd w:val="clear" w:color="auto" w:fill="D9D9D9"/>
            <w:tcMar>
              <w:top w:w="0" w:type="dxa"/>
              <w:left w:w="108" w:type="dxa"/>
              <w:bottom w:w="0" w:type="dxa"/>
              <w:right w:w="108" w:type="dxa"/>
            </w:tcMar>
            <w:vAlign w:val="center"/>
          </w:tcPr>
          <w:p w:rsidR="00451827" w:rsidRDefault="001A6DA8" w:rsidP="005F6F10">
            <w:pPr>
              <w:pStyle w:val="TextinTables"/>
              <w:jc w:val="center"/>
              <w:rPr>
                <w:b/>
              </w:rPr>
            </w:pPr>
            <w:r w:rsidRPr="00451827">
              <w:rPr>
                <w:b/>
              </w:rPr>
              <w:t>Zanimanje</w:t>
            </w:r>
          </w:p>
          <w:p w:rsidR="001A6DA8" w:rsidRPr="00451827" w:rsidRDefault="00451827" w:rsidP="005F6F10">
            <w:pPr>
              <w:pStyle w:val="TextinTables"/>
              <w:jc w:val="center"/>
              <w:rPr>
                <w:b/>
              </w:rPr>
            </w:pPr>
            <w:r w:rsidRPr="00451827">
              <w:rPr>
                <w:b/>
              </w:rPr>
              <w:t>(stručno osoblje u JU CSR)</w:t>
            </w:r>
          </w:p>
        </w:tc>
        <w:tc>
          <w:tcPr>
            <w:tcW w:w="3451" w:type="dxa"/>
            <w:gridSpan w:val="2"/>
            <w:tcBorders>
              <w:top w:val="single" w:sz="4" w:space="0" w:color="000000"/>
              <w:left w:val="single" w:sz="4" w:space="0" w:color="000000"/>
              <w:bottom w:val="single" w:sz="8" w:space="0" w:color="000000"/>
              <w:right w:val="single" w:sz="4" w:space="0" w:color="000000"/>
            </w:tcBorders>
            <w:shd w:val="clear" w:color="auto" w:fill="D9D9D9"/>
            <w:tcMar>
              <w:top w:w="0" w:type="dxa"/>
              <w:left w:w="108" w:type="dxa"/>
              <w:bottom w:w="0" w:type="dxa"/>
              <w:right w:w="108" w:type="dxa"/>
            </w:tcMar>
            <w:vAlign w:val="center"/>
          </w:tcPr>
          <w:p w:rsidR="001A6DA8" w:rsidRPr="00451827" w:rsidRDefault="001A6DA8" w:rsidP="005F6F10">
            <w:pPr>
              <w:pStyle w:val="TextinTables"/>
              <w:jc w:val="center"/>
              <w:rPr>
                <w:b/>
              </w:rPr>
            </w:pPr>
            <w:r w:rsidRPr="00451827">
              <w:rPr>
                <w:b/>
                <w:lang w:val="ru-RU"/>
              </w:rPr>
              <w:t>B</w:t>
            </w:r>
            <w:r w:rsidRPr="00451827">
              <w:rPr>
                <w:b/>
              </w:rPr>
              <w:t>roj</w:t>
            </w:r>
          </w:p>
        </w:tc>
      </w:tr>
      <w:tr w:rsidR="001A6DA8" w:rsidRPr="00F42328" w:rsidTr="0007477E">
        <w:trPr>
          <w:jc w:val="center"/>
        </w:trPr>
        <w:tc>
          <w:tcPr>
            <w:tcW w:w="3437"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F42328" w:rsidRDefault="001A6DA8" w:rsidP="005F6F10">
            <w:pPr>
              <w:pStyle w:val="TextinTables"/>
            </w:pPr>
            <w:r w:rsidRPr="00F42328">
              <w:t>Diplomirani socijalni radnik</w:t>
            </w:r>
          </w:p>
        </w:tc>
        <w:tc>
          <w:tcPr>
            <w:tcW w:w="3451" w:type="dxa"/>
            <w:gridSpan w:val="2"/>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F42328" w:rsidRDefault="001A6DA8" w:rsidP="005F6F10">
            <w:pPr>
              <w:pStyle w:val="TextinTables"/>
              <w:jc w:val="center"/>
            </w:pPr>
            <w:r w:rsidRPr="00F42328">
              <w:t>3</w:t>
            </w:r>
          </w:p>
        </w:tc>
      </w:tr>
      <w:tr w:rsidR="001A6DA8" w:rsidRPr="00F42328" w:rsidTr="0007477E">
        <w:trPr>
          <w:jc w:val="center"/>
        </w:trPr>
        <w:tc>
          <w:tcPr>
            <w:tcW w:w="3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F42328" w:rsidRDefault="001A6DA8" w:rsidP="005F6F10">
            <w:pPr>
              <w:pStyle w:val="TextinTables"/>
            </w:pPr>
            <w:r w:rsidRPr="00F42328">
              <w:t>Diplomirani pravnik</w:t>
            </w:r>
          </w:p>
        </w:tc>
        <w:tc>
          <w:tcPr>
            <w:tcW w:w="34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F42328" w:rsidRDefault="001A6DA8" w:rsidP="005F6F10">
            <w:pPr>
              <w:pStyle w:val="TextinTables"/>
              <w:jc w:val="center"/>
            </w:pPr>
            <w:r w:rsidRPr="00F42328">
              <w:t>1</w:t>
            </w:r>
          </w:p>
        </w:tc>
      </w:tr>
      <w:tr w:rsidR="001A6DA8" w:rsidRPr="00F42328" w:rsidTr="0007477E">
        <w:trPr>
          <w:jc w:val="center"/>
        </w:trPr>
        <w:tc>
          <w:tcPr>
            <w:tcW w:w="3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F42328" w:rsidRDefault="001A6DA8" w:rsidP="005F6F10">
            <w:pPr>
              <w:pStyle w:val="TextinTables"/>
            </w:pPr>
            <w:r w:rsidRPr="00F42328">
              <w:t>Diplomirani pedagog-psiholog</w:t>
            </w:r>
          </w:p>
        </w:tc>
        <w:tc>
          <w:tcPr>
            <w:tcW w:w="34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F42328" w:rsidRDefault="001A6DA8" w:rsidP="005F6F10">
            <w:pPr>
              <w:pStyle w:val="TextinTables"/>
              <w:jc w:val="center"/>
            </w:pPr>
            <w:r w:rsidRPr="00F42328">
              <w:t>1</w:t>
            </w:r>
          </w:p>
        </w:tc>
      </w:tr>
      <w:tr w:rsidR="001A6DA8" w:rsidRPr="00F42328" w:rsidTr="0007477E">
        <w:trPr>
          <w:jc w:val="center"/>
        </w:trPr>
        <w:tc>
          <w:tcPr>
            <w:tcW w:w="3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F42328" w:rsidRDefault="001A6DA8" w:rsidP="005F6F10">
            <w:pPr>
              <w:pStyle w:val="TextinTables"/>
            </w:pPr>
            <w:r w:rsidRPr="00F42328">
              <w:t>Diplomirani socijalni pedagog</w:t>
            </w:r>
          </w:p>
        </w:tc>
        <w:tc>
          <w:tcPr>
            <w:tcW w:w="34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F42328" w:rsidRDefault="001A6DA8" w:rsidP="005F6F10">
            <w:pPr>
              <w:pStyle w:val="TextinTables"/>
              <w:jc w:val="center"/>
            </w:pPr>
            <w:r w:rsidRPr="00F42328">
              <w:t>1</w:t>
            </w:r>
          </w:p>
        </w:tc>
      </w:tr>
      <w:tr w:rsidR="001A6DA8" w:rsidRPr="00451827" w:rsidTr="0007477E">
        <w:trPr>
          <w:jc w:val="center"/>
        </w:trPr>
        <w:tc>
          <w:tcPr>
            <w:tcW w:w="3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A6DA8" w:rsidRPr="00451827" w:rsidRDefault="001A6DA8" w:rsidP="005F6F10">
            <w:pPr>
              <w:pStyle w:val="TextinTables"/>
              <w:jc w:val="center"/>
              <w:rPr>
                <w:b/>
                <w:lang w:val="hr-HR"/>
              </w:rPr>
            </w:pPr>
            <w:r w:rsidRPr="00451827">
              <w:rPr>
                <w:b/>
                <w:lang w:val="hr-HR"/>
              </w:rPr>
              <w:t>Ukupno</w:t>
            </w:r>
          </w:p>
        </w:tc>
        <w:tc>
          <w:tcPr>
            <w:tcW w:w="345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A6DA8" w:rsidRPr="00451827" w:rsidRDefault="001A6DA8" w:rsidP="005F6F10">
            <w:pPr>
              <w:pStyle w:val="TextinTables"/>
              <w:jc w:val="center"/>
              <w:rPr>
                <w:b/>
              </w:rPr>
            </w:pPr>
            <w:r w:rsidRPr="00451827">
              <w:rPr>
                <w:b/>
              </w:rPr>
              <w:t>6</w:t>
            </w:r>
          </w:p>
        </w:tc>
      </w:tr>
      <w:tr w:rsidR="001A6DA8" w:rsidRPr="00451827" w:rsidTr="0007477E">
        <w:trPr>
          <w:gridAfter w:val="1"/>
          <w:wAfter w:w="11" w:type="dxa"/>
          <w:trHeight w:val="284"/>
          <w:jc w:val="center"/>
        </w:trPr>
        <w:tc>
          <w:tcPr>
            <w:tcW w:w="3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451827" w:rsidRDefault="001A6DA8" w:rsidP="005F6F10">
            <w:pPr>
              <w:pStyle w:val="TextinTables"/>
              <w:jc w:val="center"/>
              <w:rPr>
                <w:b/>
              </w:rPr>
            </w:pPr>
            <w:r w:rsidRPr="00451827">
              <w:rPr>
                <w:b/>
              </w:rPr>
              <w:t>Zanimanje</w:t>
            </w:r>
          </w:p>
          <w:p w:rsidR="001A6DA8" w:rsidRPr="00451827" w:rsidRDefault="00451827" w:rsidP="005F6F10">
            <w:pPr>
              <w:pStyle w:val="TextinTables"/>
              <w:jc w:val="center"/>
              <w:rPr>
                <w:b/>
              </w:rPr>
            </w:pPr>
            <w:r w:rsidRPr="00451827">
              <w:rPr>
                <w:b/>
              </w:rPr>
              <w:t>(ostalo osoblje u JU CSR)</w:t>
            </w:r>
          </w:p>
        </w:tc>
        <w:tc>
          <w:tcPr>
            <w:tcW w:w="344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A6DA8" w:rsidRPr="00451827" w:rsidRDefault="001A6DA8" w:rsidP="005F6F10">
            <w:pPr>
              <w:pStyle w:val="TextinTables"/>
              <w:jc w:val="center"/>
              <w:rPr>
                <w:b/>
              </w:rPr>
            </w:pPr>
            <w:r w:rsidRPr="00451827">
              <w:rPr>
                <w:b/>
              </w:rPr>
              <w:t>Broj</w:t>
            </w:r>
          </w:p>
        </w:tc>
      </w:tr>
      <w:tr w:rsidR="001A6DA8" w:rsidRPr="00F42328" w:rsidTr="0007477E">
        <w:trPr>
          <w:gridAfter w:val="1"/>
          <w:wAfter w:w="11" w:type="dxa"/>
          <w:jc w:val="center"/>
        </w:trPr>
        <w:tc>
          <w:tcPr>
            <w:tcW w:w="3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F42328" w:rsidRDefault="001A6DA8" w:rsidP="005F6F10">
            <w:pPr>
              <w:pStyle w:val="TextinTables"/>
            </w:pPr>
            <w:r w:rsidRPr="00F42328">
              <w:t>SSS ekonomski smjer</w:t>
            </w:r>
          </w:p>
        </w:tc>
        <w:tc>
          <w:tcPr>
            <w:tcW w:w="3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F42328" w:rsidRDefault="001A6DA8" w:rsidP="005F6F10">
            <w:pPr>
              <w:pStyle w:val="TextinTables"/>
              <w:jc w:val="center"/>
            </w:pPr>
            <w:r w:rsidRPr="00F42328">
              <w:t>1</w:t>
            </w:r>
          </w:p>
        </w:tc>
      </w:tr>
      <w:tr w:rsidR="001A6DA8" w:rsidRPr="00F42328" w:rsidTr="0007477E">
        <w:trPr>
          <w:gridAfter w:val="1"/>
          <w:wAfter w:w="11" w:type="dxa"/>
          <w:jc w:val="center"/>
        </w:trPr>
        <w:tc>
          <w:tcPr>
            <w:tcW w:w="3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F42328" w:rsidRDefault="001A6DA8" w:rsidP="005F6F10">
            <w:pPr>
              <w:pStyle w:val="TextinTables"/>
            </w:pPr>
            <w:r w:rsidRPr="00F42328">
              <w:t>SSS upravni smjer</w:t>
            </w:r>
          </w:p>
        </w:tc>
        <w:tc>
          <w:tcPr>
            <w:tcW w:w="3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F42328" w:rsidRDefault="001A6DA8" w:rsidP="005F6F10">
            <w:pPr>
              <w:pStyle w:val="TextinTables"/>
              <w:jc w:val="center"/>
            </w:pPr>
            <w:r w:rsidRPr="00F42328">
              <w:t>1</w:t>
            </w:r>
          </w:p>
        </w:tc>
      </w:tr>
      <w:tr w:rsidR="001A6DA8" w:rsidRPr="00F42328" w:rsidTr="0007477E">
        <w:trPr>
          <w:gridAfter w:val="1"/>
          <w:wAfter w:w="11" w:type="dxa"/>
          <w:jc w:val="center"/>
        </w:trPr>
        <w:tc>
          <w:tcPr>
            <w:tcW w:w="3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F42328" w:rsidRDefault="001A6DA8" w:rsidP="005F6F10">
            <w:pPr>
              <w:pStyle w:val="TextinTables"/>
            </w:pPr>
            <w:r w:rsidRPr="00F42328">
              <w:t>SSS- Gimnazija, opći smijer</w:t>
            </w:r>
          </w:p>
        </w:tc>
        <w:tc>
          <w:tcPr>
            <w:tcW w:w="3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F42328" w:rsidRDefault="001A6DA8" w:rsidP="005F6F10">
            <w:pPr>
              <w:pStyle w:val="TextinTables"/>
              <w:jc w:val="center"/>
            </w:pPr>
            <w:r w:rsidRPr="00F42328">
              <w:t>1</w:t>
            </w:r>
          </w:p>
        </w:tc>
      </w:tr>
      <w:tr w:rsidR="001A6DA8" w:rsidRPr="00F42328" w:rsidTr="0007477E">
        <w:trPr>
          <w:gridAfter w:val="1"/>
          <w:wAfter w:w="11" w:type="dxa"/>
          <w:jc w:val="center"/>
        </w:trPr>
        <w:tc>
          <w:tcPr>
            <w:tcW w:w="3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6DA8" w:rsidRPr="00F42328" w:rsidRDefault="001A6DA8" w:rsidP="005F6F10">
            <w:pPr>
              <w:pStyle w:val="TextinTables"/>
            </w:pPr>
            <w:r w:rsidRPr="00F42328">
              <w:t>Higijeničar</w:t>
            </w:r>
          </w:p>
        </w:tc>
        <w:tc>
          <w:tcPr>
            <w:tcW w:w="3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6DA8" w:rsidRPr="00F42328" w:rsidRDefault="001A6DA8" w:rsidP="005F6F10">
            <w:pPr>
              <w:pStyle w:val="TextinTables"/>
              <w:jc w:val="center"/>
            </w:pPr>
            <w:r w:rsidRPr="00F42328">
              <w:t>1</w:t>
            </w:r>
          </w:p>
        </w:tc>
      </w:tr>
      <w:tr w:rsidR="001A6DA8" w:rsidRPr="00451827" w:rsidTr="0007477E">
        <w:trPr>
          <w:gridAfter w:val="1"/>
          <w:wAfter w:w="11" w:type="dxa"/>
          <w:jc w:val="center"/>
        </w:trPr>
        <w:tc>
          <w:tcPr>
            <w:tcW w:w="3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A6DA8" w:rsidRPr="00451827" w:rsidRDefault="001A6DA8" w:rsidP="005F6F10">
            <w:pPr>
              <w:pStyle w:val="TextinTables"/>
              <w:jc w:val="center"/>
              <w:rPr>
                <w:b/>
              </w:rPr>
            </w:pPr>
            <w:r w:rsidRPr="00451827">
              <w:rPr>
                <w:b/>
              </w:rPr>
              <w:t>Ukupno</w:t>
            </w:r>
          </w:p>
        </w:tc>
        <w:tc>
          <w:tcPr>
            <w:tcW w:w="344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A6DA8" w:rsidRPr="00451827" w:rsidRDefault="001A6DA8" w:rsidP="005F6F10">
            <w:pPr>
              <w:pStyle w:val="TextinTables"/>
              <w:jc w:val="center"/>
              <w:rPr>
                <w:b/>
              </w:rPr>
            </w:pPr>
            <w:r w:rsidRPr="00451827">
              <w:rPr>
                <w:b/>
              </w:rPr>
              <w:t>4</w:t>
            </w:r>
          </w:p>
        </w:tc>
      </w:tr>
    </w:tbl>
    <w:p w:rsidR="001A6DA8" w:rsidRPr="00F626FD" w:rsidRDefault="00BC7C4C" w:rsidP="00A01D01">
      <w:pPr>
        <w:pStyle w:val="Izvorpodataka"/>
      </w:pPr>
      <w:r w:rsidRPr="00451827">
        <w:t>Izvor:</w:t>
      </w:r>
      <w:r w:rsidR="006D4D65" w:rsidRPr="00451827">
        <w:t xml:space="preserve"> Centar za socijalni rad općina Kalesija</w:t>
      </w:r>
    </w:p>
    <w:p w:rsidR="001A6DA8" w:rsidRPr="00FE5FA2" w:rsidRDefault="009E3DF4" w:rsidP="00750FA5">
      <w:pPr>
        <w:rPr>
          <w:lang w:val="hr-BA" w:eastAsia="zh-CN" w:bidi="hi-IN"/>
        </w:rPr>
      </w:pPr>
      <w:r>
        <w:rPr>
          <w:lang w:val="hr-BA" w:eastAsia="zh-CN" w:bidi="hi-IN"/>
        </w:rPr>
        <w:t>M</w:t>
      </w:r>
      <w:r w:rsidRPr="00F42328">
        <w:rPr>
          <w:lang w:val="hr-BA" w:eastAsia="zh-CN" w:bidi="hi-IN"/>
        </w:rPr>
        <w:t xml:space="preserve">eđu ugrožene kategorije stanovništva </w:t>
      </w:r>
      <w:r>
        <w:rPr>
          <w:lang w:val="hr-BA" w:eastAsia="zh-CN" w:bidi="hi-IN"/>
        </w:rPr>
        <w:t>spadaju n</w:t>
      </w:r>
      <w:r w:rsidR="001A6DA8" w:rsidRPr="00F42328">
        <w:rPr>
          <w:lang w:val="hr-BA" w:eastAsia="zh-CN" w:bidi="hi-IN"/>
        </w:rPr>
        <w:t>ezaposleni</w:t>
      </w:r>
      <w:r>
        <w:rPr>
          <w:lang w:val="hr-BA" w:eastAsia="zh-CN" w:bidi="hi-IN"/>
        </w:rPr>
        <w:t xml:space="preserve"> (</w:t>
      </w:r>
      <w:r w:rsidR="001A6DA8" w:rsidRPr="00F42328">
        <w:rPr>
          <w:lang w:val="hr-BA" w:eastAsia="zh-CN" w:bidi="hi-IN"/>
        </w:rPr>
        <w:t>naročito srednjih godina i žene</w:t>
      </w:r>
      <w:r>
        <w:rPr>
          <w:lang w:val="hr-BA" w:eastAsia="zh-CN" w:bidi="hi-IN"/>
        </w:rPr>
        <w:t>)</w:t>
      </w:r>
      <w:r w:rsidR="001A6DA8" w:rsidRPr="00F42328">
        <w:rPr>
          <w:lang w:val="hr-BA" w:eastAsia="zh-CN" w:bidi="hi-IN"/>
        </w:rPr>
        <w:t xml:space="preserve">, radnici s neriješenim statusom, radnici s malim i neredovnim plaćama, </w:t>
      </w:r>
      <w:r>
        <w:rPr>
          <w:lang w:val="hr-BA" w:eastAsia="zh-CN" w:bidi="hi-IN"/>
        </w:rPr>
        <w:t>penzioneri</w:t>
      </w:r>
      <w:r w:rsidR="001A6DA8" w:rsidRPr="00F42328">
        <w:rPr>
          <w:lang w:val="hr-BA" w:eastAsia="zh-CN" w:bidi="hi-IN"/>
        </w:rPr>
        <w:t xml:space="preserve">, raseljene osobe, povratnici, veliki dio romske populacije, ratni vojni invalidi, osobe s posebnim potrebama, civilne žrtve rata, demobilizirani vojnici, korisnici porodične invalidnine, te stare i iznemogle osobe kojima je potrebna tuđa njega i pomoć. </w:t>
      </w:r>
    </w:p>
    <w:p w:rsidR="00040463" w:rsidRDefault="00040463" w:rsidP="00750FA5">
      <w:pPr>
        <w:rPr>
          <w:lang w:val="hr-BA" w:eastAsia="zh-CN" w:bidi="hi-IN"/>
        </w:rPr>
      </w:pPr>
      <w:r w:rsidRPr="00040463">
        <w:rPr>
          <w:lang w:val="hr-BA" w:eastAsia="zh-CN" w:bidi="hi-IN"/>
        </w:rPr>
        <w:t xml:space="preserve">Posebno ugrožena kategorija stanovništva u općini Kalesija su raseljene osobe </w:t>
      </w:r>
      <w:r w:rsidR="007B7776">
        <w:rPr>
          <w:lang w:val="hr-BA" w:eastAsia="zh-CN" w:bidi="hi-IN"/>
        </w:rPr>
        <w:t>i povratnici</w:t>
      </w:r>
      <w:r w:rsidRPr="00040463">
        <w:rPr>
          <w:lang w:val="hr-BA" w:eastAsia="zh-CN" w:bidi="hi-IN"/>
        </w:rPr>
        <w:t>. Trenutno na području općine Kalesija živi 1530 raseljenih osoba od toga njih 13</w:t>
      </w:r>
      <w:r w:rsidR="009E3DF4">
        <w:rPr>
          <w:lang w:val="hr-BA" w:eastAsia="zh-CN" w:bidi="hi-IN"/>
        </w:rPr>
        <w:t>3 živi u kolektivnim naseljima,</w:t>
      </w:r>
      <w:r w:rsidRPr="00040463">
        <w:rPr>
          <w:lang w:val="hr-BA" w:eastAsia="zh-CN" w:bidi="hi-IN"/>
        </w:rPr>
        <w:t xml:space="preserve"> koja su namjenski izgrađena za smještaj raseljenih osoba, a nalaze se u Memićima, Markovićima, Kalesija centru i Jeginovom Lugu. Veliki broj raseljenih osoba nema nikakav izvor primanja, a po Zakonu o socijalnoj zaštiti ne spada u kategoriju socijalno ugroženih, </w:t>
      </w:r>
      <w:r w:rsidR="009E3DF4">
        <w:rPr>
          <w:lang w:val="hr-BA" w:eastAsia="zh-CN" w:bidi="hi-IN"/>
        </w:rPr>
        <w:t xml:space="preserve">te </w:t>
      </w:r>
      <w:r w:rsidRPr="00040463">
        <w:rPr>
          <w:lang w:val="hr-BA" w:eastAsia="zh-CN" w:bidi="hi-IN"/>
        </w:rPr>
        <w:t>po tom osnovu ne mogu dobiti bilo kakvu pomoć. Raseljena lica mogu regulirati zdravstvenu zaštitu preko Službe za raseljena lica ukoliko nemaju zdravstvenu zaštitu po nekom drugom osnovu. Na području općin</w:t>
      </w:r>
      <w:r w:rsidR="009E3DF4">
        <w:rPr>
          <w:lang w:val="hr-BA" w:eastAsia="zh-CN" w:bidi="hi-IN"/>
        </w:rPr>
        <w:t>e Kalesija ima oko 180 stvarnih</w:t>
      </w:r>
      <w:r w:rsidRPr="00040463">
        <w:rPr>
          <w:lang w:val="hr-BA" w:eastAsia="zh-CN" w:bidi="hi-IN"/>
        </w:rPr>
        <w:t xml:space="preserve"> povratnik</w:t>
      </w:r>
      <w:r w:rsidR="009E3DF4">
        <w:rPr>
          <w:lang w:val="hr-BA" w:eastAsia="zh-CN" w:bidi="hi-IN"/>
        </w:rPr>
        <w:t>a-Srba</w:t>
      </w:r>
      <w:r w:rsidR="009E3DF4">
        <w:rPr>
          <w:rStyle w:val="FootnoteReference"/>
          <w:color w:val="000000" w:themeColor="text1"/>
          <w:lang w:val="hr-BA" w:eastAsia="zh-CN" w:bidi="hi-IN"/>
        </w:rPr>
        <w:footnoteReference w:id="29"/>
      </w:r>
      <w:r w:rsidR="009E3DF4">
        <w:rPr>
          <w:lang w:val="hr-BA" w:eastAsia="zh-CN" w:bidi="hi-IN"/>
        </w:rPr>
        <w:t xml:space="preserve">. </w:t>
      </w:r>
      <w:r w:rsidR="009E3DF4" w:rsidRPr="00040463">
        <w:rPr>
          <w:lang w:val="hr-BA" w:eastAsia="zh-CN" w:bidi="hi-IN"/>
        </w:rPr>
        <w:t>Usljed nereguliranog sistema zdravstvene zaštite, veliki broj povratnika je samo fiktivno prijavio povratak u prijeratno prebivalište, dok u stvarnosti još uvijek borave u mjestima privremenog boravka.</w:t>
      </w:r>
      <w:r w:rsidR="009E3DF4">
        <w:rPr>
          <w:lang w:val="hr-BA" w:eastAsia="zh-CN" w:bidi="hi-IN"/>
        </w:rPr>
        <w:t xml:space="preserve"> </w:t>
      </w:r>
      <w:r w:rsidRPr="00040463">
        <w:rPr>
          <w:lang w:val="hr-BA" w:eastAsia="zh-CN" w:bidi="hi-IN"/>
        </w:rPr>
        <w:t>Većina povratnika nije zaposlena i u istoj su situaciji kao i domicilno stanovništvo kada je u pitanju ostvarivanje prava na rad. Vlada FBiH, Vlada TK i Općina Kalesija davali su pomoć za održiv povratak</w:t>
      </w:r>
      <w:r w:rsidR="007B7776">
        <w:rPr>
          <w:lang w:val="hr-BA" w:eastAsia="zh-CN" w:bidi="hi-IN"/>
        </w:rPr>
        <w:t xml:space="preserve">, koja </w:t>
      </w:r>
      <w:r w:rsidRPr="00040463">
        <w:rPr>
          <w:lang w:val="hr-BA" w:eastAsia="zh-CN" w:bidi="hi-IN"/>
        </w:rPr>
        <w:t xml:space="preserve">se uglavnom </w:t>
      </w:r>
      <w:r w:rsidR="007B7776">
        <w:rPr>
          <w:lang w:val="hr-BA" w:eastAsia="zh-CN" w:bidi="hi-IN"/>
        </w:rPr>
        <w:t>odnosila na</w:t>
      </w:r>
      <w:r w:rsidRPr="00040463">
        <w:rPr>
          <w:lang w:val="hr-BA" w:eastAsia="zh-CN" w:bidi="hi-IN"/>
        </w:rPr>
        <w:t xml:space="preserve"> održavanj</w:t>
      </w:r>
      <w:r w:rsidR="007B7776">
        <w:rPr>
          <w:lang w:val="hr-BA" w:eastAsia="zh-CN" w:bidi="hi-IN"/>
        </w:rPr>
        <w:t xml:space="preserve">e lokalnih puteva, </w:t>
      </w:r>
      <w:r w:rsidRPr="00040463">
        <w:rPr>
          <w:lang w:val="hr-BA" w:eastAsia="zh-CN" w:bidi="hi-IN"/>
        </w:rPr>
        <w:t>pomoć u naba</w:t>
      </w:r>
      <w:r w:rsidR="009E3DF4" w:rsidRPr="00040463">
        <w:rPr>
          <w:lang w:val="hr-BA" w:eastAsia="zh-CN" w:bidi="hi-IN"/>
        </w:rPr>
        <w:t>v</w:t>
      </w:r>
      <w:r w:rsidRPr="00040463">
        <w:rPr>
          <w:lang w:val="hr-BA" w:eastAsia="zh-CN" w:bidi="hi-IN"/>
        </w:rPr>
        <w:t>ci mehanizacije za poljoprivredu, kupovinu stoke, nabavku plastenika</w:t>
      </w:r>
      <w:r w:rsidR="009E3DF4">
        <w:rPr>
          <w:lang w:val="hr-BA" w:eastAsia="zh-CN" w:bidi="hi-IN"/>
        </w:rPr>
        <w:t>,</w:t>
      </w:r>
      <w:r w:rsidRPr="00040463">
        <w:rPr>
          <w:lang w:val="hr-BA" w:eastAsia="zh-CN" w:bidi="hi-IN"/>
        </w:rPr>
        <w:t xml:space="preserve"> itd. </w:t>
      </w:r>
    </w:p>
    <w:p w:rsidR="007B7776" w:rsidRPr="00F42328" w:rsidRDefault="007B7776" w:rsidP="00750FA5">
      <w:pPr>
        <w:rPr>
          <w:lang w:val="hr-BA" w:eastAsia="zh-CN" w:bidi="hi-IN"/>
        </w:rPr>
      </w:pPr>
      <w:r w:rsidRPr="00F42328">
        <w:rPr>
          <w:lang w:val="hr-BA" w:eastAsia="zh-CN" w:bidi="hi-IN"/>
        </w:rPr>
        <w:t>Romsko stanovništvo u općini Kalesija organizirano je u okviru Udruženja Roma</w:t>
      </w:r>
      <w:r>
        <w:rPr>
          <w:lang w:val="hr-BA" w:eastAsia="zh-CN" w:bidi="hi-IN"/>
        </w:rPr>
        <w:t>, koje je osnovano 1997. godine i</w:t>
      </w:r>
      <w:r w:rsidRPr="00F42328">
        <w:rPr>
          <w:lang w:val="hr-BA" w:eastAsia="zh-CN" w:bidi="hi-IN"/>
        </w:rPr>
        <w:t xml:space="preserve"> u koje </w:t>
      </w:r>
      <w:r>
        <w:rPr>
          <w:lang w:val="hr-BA" w:eastAsia="zh-CN" w:bidi="hi-IN"/>
        </w:rPr>
        <w:t>je</w:t>
      </w:r>
      <w:r w:rsidRPr="00F42328">
        <w:rPr>
          <w:lang w:val="hr-BA" w:eastAsia="zh-CN" w:bidi="hi-IN"/>
        </w:rPr>
        <w:t xml:space="preserve"> učlanjeno 55 romskih domaćinstava. </w:t>
      </w:r>
      <w:r>
        <w:rPr>
          <w:lang w:val="hr-BA" w:eastAsia="zh-CN" w:bidi="hi-IN"/>
        </w:rPr>
        <w:t>R</w:t>
      </w:r>
      <w:r w:rsidRPr="00F42328">
        <w:rPr>
          <w:lang w:val="hr-BA" w:eastAsia="zh-CN" w:bidi="hi-IN"/>
        </w:rPr>
        <w:t xml:space="preserve">omska zajednica </w:t>
      </w:r>
      <w:r>
        <w:rPr>
          <w:lang w:val="hr-BA" w:eastAsia="zh-CN" w:bidi="hi-IN"/>
        </w:rPr>
        <w:t>broji</w:t>
      </w:r>
      <w:r w:rsidRPr="00F42328">
        <w:rPr>
          <w:lang w:val="hr-BA" w:eastAsia="zh-CN" w:bidi="hi-IN"/>
        </w:rPr>
        <w:t xml:space="preserve"> oko 1.000 članova. </w:t>
      </w:r>
      <w:r w:rsidRPr="00F42328">
        <w:rPr>
          <w:lang w:val="hr-BA" w:eastAsia="zh-CN" w:bidi="hi-IN"/>
        </w:rPr>
        <w:lastRenderedPageBreak/>
        <w:t xml:space="preserve">Zahvaljujući dobroj organiziranosti, u 2000. godini su </w:t>
      </w:r>
      <w:r w:rsidRPr="007B7776">
        <w:t>o</w:t>
      </w:r>
      <w:r w:rsidRPr="00F42328">
        <w:rPr>
          <w:lang w:val="hr-BA" w:eastAsia="zh-CN" w:bidi="hi-IN"/>
        </w:rPr>
        <w:t xml:space="preserve">d Vlade SR Njemačke dobili donaciju u iznosu od 1.730.000 eura za adaptaciju 55 stambenih jedinica. Naselje je smješteno u samom centru grada, a ulica koja prolazi kroz naselje je u vrlo lošem stanju. Nezposlenost radno sposobnog stanovništva romske populacije je velika, bez obzira </w:t>
      </w:r>
      <w:r>
        <w:rPr>
          <w:lang w:val="hr-BA" w:eastAsia="zh-CN" w:bidi="hi-IN"/>
        </w:rPr>
        <w:t>što</w:t>
      </w:r>
      <w:r w:rsidRPr="00F42328">
        <w:rPr>
          <w:lang w:val="hr-BA" w:eastAsia="zh-CN" w:bidi="hi-IN"/>
        </w:rPr>
        <w:t xml:space="preserve"> svako romsko domaćinstvo ima barem jednog člana sa završenom srednjom školom.</w:t>
      </w:r>
    </w:p>
    <w:p w:rsidR="001A6DA8" w:rsidRPr="00B60137" w:rsidRDefault="001344B2" w:rsidP="00750FA5">
      <w:pPr>
        <w:rPr>
          <w:lang w:val="hr-BA" w:eastAsia="zh-CN" w:bidi="hi-IN"/>
        </w:rPr>
      </w:pPr>
      <w:r>
        <w:rPr>
          <w:lang w:val="hr-BA" w:eastAsia="zh-CN" w:bidi="hi-IN"/>
        </w:rPr>
        <w:t>Kada su u pitanju osobe s posebnim potrebama, u</w:t>
      </w:r>
      <w:r w:rsidR="001A6DA8" w:rsidRPr="00F42328">
        <w:rPr>
          <w:lang w:val="hr-BA" w:eastAsia="zh-CN" w:bidi="hi-IN"/>
        </w:rPr>
        <w:t xml:space="preserve"> Kalesiji je </w:t>
      </w:r>
      <w:r w:rsidR="00FB1023">
        <w:rPr>
          <w:lang w:val="hr-BA" w:eastAsia="zh-CN" w:bidi="hi-IN"/>
        </w:rPr>
        <w:t xml:space="preserve">2002. godine </w:t>
      </w:r>
      <w:r w:rsidR="001A6DA8" w:rsidRPr="00F42328">
        <w:rPr>
          <w:lang w:val="hr-BA" w:eastAsia="zh-CN" w:bidi="hi-IN"/>
        </w:rPr>
        <w:t xml:space="preserve">osnovano Udruženje roditelja djece s posebnim potrebama pod nazivom „Osmijeh nade“ s ciljem da senzibilizira lokalnu zajednicu o problemima djece s posebnim potrebama. S obzirom da na području općine </w:t>
      </w:r>
      <w:r w:rsidR="007B7776">
        <w:rPr>
          <w:lang w:val="hr-BA" w:eastAsia="zh-CN" w:bidi="hi-IN"/>
        </w:rPr>
        <w:t>dugo vremena</w:t>
      </w:r>
      <w:r w:rsidR="001A6DA8" w:rsidRPr="00F42328">
        <w:rPr>
          <w:lang w:val="hr-BA" w:eastAsia="zh-CN" w:bidi="hi-IN"/>
        </w:rPr>
        <w:t xml:space="preserve"> nije postojalo niti jedno drugo udruženje za invalidne osobe, vremenom su članovi </w:t>
      </w:r>
      <w:r w:rsidR="007B7776">
        <w:rPr>
          <w:lang w:val="hr-BA" w:eastAsia="zh-CN" w:bidi="hi-IN"/>
        </w:rPr>
        <w:t>ovog U</w:t>
      </w:r>
      <w:r w:rsidR="001A6DA8" w:rsidRPr="00F42328">
        <w:rPr>
          <w:lang w:val="hr-BA" w:eastAsia="zh-CN" w:bidi="hi-IN"/>
        </w:rPr>
        <w:t>druženja postale osobe s mentalnim i fizičkim invaliditetom, gluhonijemi, slobovide osobe, paraplegičari i drugi. Udruženje broji oko 190 članova</w:t>
      </w:r>
      <w:r>
        <w:rPr>
          <w:lang w:val="hr-BA" w:eastAsia="zh-CN" w:bidi="hi-IN"/>
        </w:rPr>
        <w:t>. S</w:t>
      </w:r>
      <w:r w:rsidR="001A6DA8" w:rsidRPr="00F42328">
        <w:rPr>
          <w:lang w:val="hr-BA" w:eastAsia="zh-CN" w:bidi="hi-IN"/>
        </w:rPr>
        <w:t xml:space="preserve">matra </w:t>
      </w:r>
      <w:r>
        <w:rPr>
          <w:lang w:val="hr-BA" w:eastAsia="zh-CN" w:bidi="hi-IN"/>
        </w:rPr>
        <w:t xml:space="preserve">se </w:t>
      </w:r>
      <w:r w:rsidR="001A6DA8" w:rsidRPr="00F42328">
        <w:rPr>
          <w:lang w:val="hr-BA" w:eastAsia="zh-CN" w:bidi="hi-IN"/>
        </w:rPr>
        <w:t xml:space="preserve">da je broj lica s posebnim potrebama mnogo veći, ali zbog društvene stigme sigurno je da izvjestan broj tih lica nije registriran ni u CSR ni u Udruženju. S ciljem registracije stvarnog broja lica s posebnim potrebama, Udruženje je uspostavilo saradnju s CSR, te ga informira o svim slučajevima za koje saznaju neformalnim putem. Registrirano je da 35 djece s posebnim potrebama pohađa osnovnu školu, a petero djece Srednju školu „Kosta Popov“ u Tuzli. Život invalidnih osoba u općini Kalesija je uveliko otežan, </w:t>
      </w:r>
      <w:r>
        <w:rPr>
          <w:lang w:val="hr-BA" w:eastAsia="zh-CN" w:bidi="hi-IN"/>
        </w:rPr>
        <w:t xml:space="preserve">prvenstevno </w:t>
      </w:r>
      <w:r w:rsidR="001A6DA8" w:rsidRPr="00F42328">
        <w:rPr>
          <w:lang w:val="hr-BA" w:eastAsia="zh-CN" w:bidi="hi-IN"/>
        </w:rPr>
        <w:t>jer</w:t>
      </w:r>
      <w:r>
        <w:rPr>
          <w:lang w:val="hr-BA" w:eastAsia="zh-CN" w:bidi="hi-IN"/>
        </w:rPr>
        <w:t xml:space="preserve"> su im ograničene mogućnosti za zapošljavanje i pristup ustanovama. V</w:t>
      </w:r>
      <w:r w:rsidR="001A6DA8" w:rsidRPr="00F42328">
        <w:rPr>
          <w:lang w:val="hr-BA" w:eastAsia="zh-CN" w:bidi="hi-IN"/>
        </w:rPr>
        <w:t xml:space="preserve">ećina javnih ustanova nema izgrađene pristupe za invalidska kolica, a </w:t>
      </w:r>
      <w:r>
        <w:rPr>
          <w:lang w:val="hr-BA" w:eastAsia="zh-CN" w:bidi="hi-IN"/>
        </w:rPr>
        <w:t xml:space="preserve">u pojedinim slučajevima pristupi </w:t>
      </w:r>
      <w:r w:rsidR="001A6DA8" w:rsidRPr="00F42328">
        <w:rPr>
          <w:lang w:val="hr-BA" w:eastAsia="zh-CN" w:bidi="hi-IN"/>
        </w:rPr>
        <w:t xml:space="preserve">ne ispunjavaju </w:t>
      </w:r>
      <w:r>
        <w:rPr>
          <w:lang w:val="hr-BA" w:eastAsia="zh-CN" w:bidi="hi-IN"/>
        </w:rPr>
        <w:t xml:space="preserve">u potpunosti </w:t>
      </w:r>
      <w:r w:rsidR="001A6DA8" w:rsidRPr="00F42328">
        <w:rPr>
          <w:lang w:val="hr-BA" w:eastAsia="zh-CN" w:bidi="hi-IN"/>
        </w:rPr>
        <w:t>svoju svrhu</w:t>
      </w:r>
      <w:r w:rsidR="001A6DA8" w:rsidRPr="00F42328">
        <w:rPr>
          <w:vertAlign w:val="superscript"/>
          <w:lang w:val="hr-BA" w:eastAsia="zh-CN" w:bidi="hi-IN"/>
        </w:rPr>
        <w:footnoteReference w:id="30"/>
      </w:r>
      <w:r w:rsidR="001A6DA8" w:rsidRPr="00F42328">
        <w:rPr>
          <w:lang w:val="hr-BA" w:eastAsia="zh-CN" w:bidi="hi-IN"/>
        </w:rPr>
        <w:t xml:space="preserve">. Udruženje svoj rad obavlja u neuslovnim prostorijama, te nije u mogućnosti pružati ni </w:t>
      </w:r>
      <w:r w:rsidR="007B7776">
        <w:rPr>
          <w:lang w:val="hr-BA" w:eastAsia="zh-CN" w:bidi="hi-IN"/>
        </w:rPr>
        <w:t>osnovne</w:t>
      </w:r>
      <w:r w:rsidR="001A6DA8" w:rsidRPr="00F42328">
        <w:rPr>
          <w:lang w:val="hr-BA" w:eastAsia="zh-CN" w:bidi="hi-IN"/>
        </w:rPr>
        <w:t xml:space="preserve"> usluge</w:t>
      </w:r>
      <w:r>
        <w:rPr>
          <w:lang w:val="hr-BA" w:eastAsia="zh-CN" w:bidi="hi-IN"/>
        </w:rPr>
        <w:t xml:space="preserve"> članstvu (npr.</w:t>
      </w:r>
      <w:r w:rsidR="001A6DA8" w:rsidRPr="00F42328">
        <w:rPr>
          <w:lang w:val="hr-BA" w:eastAsia="zh-CN" w:bidi="hi-IN"/>
        </w:rPr>
        <w:t xml:space="preserve"> igraonica za djecu, usluge logopeda i fizijatra</w:t>
      </w:r>
      <w:r>
        <w:rPr>
          <w:lang w:val="hr-BA" w:eastAsia="zh-CN" w:bidi="hi-IN"/>
        </w:rPr>
        <w:t>)</w:t>
      </w:r>
      <w:r w:rsidR="00B70F06">
        <w:rPr>
          <w:lang w:val="hr-BA" w:eastAsia="zh-CN" w:bidi="hi-IN"/>
        </w:rPr>
        <w:t xml:space="preserve">. </w:t>
      </w:r>
      <w:r w:rsidR="007B7776">
        <w:rPr>
          <w:lang w:val="hr-BA" w:eastAsia="zh-CN" w:bidi="hi-IN"/>
        </w:rPr>
        <w:t xml:space="preserve">Sredstva dodijeljenja Udruženju iz općinskog </w:t>
      </w:r>
      <w:r w:rsidR="00B70F06">
        <w:rPr>
          <w:lang w:val="hr-BA" w:eastAsia="zh-CN" w:bidi="hi-IN"/>
        </w:rPr>
        <w:t>budžet</w:t>
      </w:r>
      <w:r w:rsidR="007B7776">
        <w:rPr>
          <w:lang w:val="hr-BA" w:eastAsia="zh-CN" w:bidi="hi-IN"/>
        </w:rPr>
        <w:t>a</w:t>
      </w:r>
      <w:r w:rsidR="00B70F06">
        <w:rPr>
          <w:lang w:val="hr-BA" w:eastAsia="zh-CN" w:bidi="hi-IN"/>
        </w:rPr>
        <w:t xml:space="preserve"> </w:t>
      </w:r>
      <w:r>
        <w:rPr>
          <w:lang w:val="hr-BA" w:eastAsia="zh-CN" w:bidi="hi-IN"/>
        </w:rPr>
        <w:t>nisu dovoljna za</w:t>
      </w:r>
      <w:r w:rsidR="001A6DA8" w:rsidRPr="00F42328">
        <w:rPr>
          <w:lang w:val="hr-BA" w:eastAsia="zh-CN" w:bidi="hi-IN"/>
        </w:rPr>
        <w:t xml:space="preserve"> realiz</w:t>
      </w:r>
      <w:r w:rsidR="007B7776">
        <w:rPr>
          <w:lang w:val="hr-BA" w:eastAsia="zh-CN" w:bidi="hi-IN"/>
        </w:rPr>
        <w:t>aciju</w:t>
      </w:r>
      <w:r w:rsidR="001A6DA8" w:rsidRPr="00F42328">
        <w:rPr>
          <w:lang w:val="hr-BA" w:eastAsia="zh-CN" w:bidi="hi-IN"/>
        </w:rPr>
        <w:t xml:space="preserve"> zacrtan</w:t>
      </w:r>
      <w:r w:rsidR="007B7776">
        <w:rPr>
          <w:lang w:val="hr-BA" w:eastAsia="zh-CN" w:bidi="hi-IN"/>
        </w:rPr>
        <w:t>ih</w:t>
      </w:r>
      <w:r w:rsidR="001A6DA8" w:rsidRPr="00F42328">
        <w:rPr>
          <w:lang w:val="hr-BA" w:eastAsia="zh-CN" w:bidi="hi-IN"/>
        </w:rPr>
        <w:t xml:space="preserve"> projek</w:t>
      </w:r>
      <w:r w:rsidR="007B7776">
        <w:rPr>
          <w:lang w:val="hr-BA" w:eastAsia="zh-CN" w:bidi="hi-IN"/>
        </w:rPr>
        <w:t>ata</w:t>
      </w:r>
      <w:r w:rsidR="001A6DA8" w:rsidRPr="00F42328">
        <w:rPr>
          <w:lang w:val="hr-BA" w:eastAsia="zh-CN" w:bidi="hi-IN"/>
        </w:rPr>
        <w:t xml:space="preserve"> i aktivnosti.</w:t>
      </w:r>
    </w:p>
    <w:p w:rsidR="002F33D5" w:rsidRPr="00B60137" w:rsidRDefault="001A6DA8" w:rsidP="00750FA5">
      <w:pPr>
        <w:rPr>
          <w:spacing w:val="-2"/>
          <w:lang w:val="hr-BA" w:eastAsia="zh-CN" w:bidi="hi-IN"/>
        </w:rPr>
      </w:pPr>
      <w:r w:rsidRPr="00F42328">
        <w:rPr>
          <w:lang w:val="hr-BA" w:eastAsia="zh-CN" w:bidi="hi-IN"/>
        </w:rPr>
        <w:t>Na području općine Kalesija aktivno djeluje Crveni križ (CK), koji ima jednog profesionalno zaposlenog i 36 volontera. Obzirom da u općini žive 524 stare i iznemogle osobe kojima je potrebna kućna njega, jedna od trenutno najvažnijih aktivnosti CK je Projekat kućne njege. Projekat se radi u saradnji sa Službom za zapošljavanje TK, koja zapošljava volontere sa svoje evidencije nezaposlenih. Projekat traje 6 mjeseci, zaposleno je 8 volonter</w:t>
      </w:r>
      <w:r>
        <w:rPr>
          <w:lang w:val="hr-BA" w:eastAsia="zh-CN" w:bidi="hi-IN"/>
        </w:rPr>
        <w:t>a</w:t>
      </w:r>
      <w:r w:rsidRPr="00F42328">
        <w:rPr>
          <w:lang w:val="hr-BA" w:eastAsia="zh-CN" w:bidi="hi-IN"/>
        </w:rPr>
        <w:t xml:space="preserve"> koji se mijenjaju svaka tri mjeseca, a broj korisnika obuhvaćenih ovim projektom je 48. Odabir korisnika kućne njege izvršili su CK i Udruženje penzionera općine Kalesija. Crveni križ radi i distribuciju hrane, odjeće, obuće i higijenskih </w:t>
      </w:r>
      <w:r w:rsidRPr="00F42328">
        <w:rPr>
          <w:spacing w:val="-2"/>
          <w:lang w:val="hr-BA" w:eastAsia="zh-CN" w:bidi="hi-IN"/>
        </w:rPr>
        <w:t xml:space="preserve">paketa, a sredstva za ovu pomoć dobivaju od stranih donatora, domaćih privrednika, i </w:t>
      </w:r>
      <w:r w:rsidR="001344B2">
        <w:rPr>
          <w:spacing w:val="-2"/>
          <w:lang w:val="hr-BA" w:eastAsia="zh-CN" w:bidi="hi-IN"/>
        </w:rPr>
        <w:t xml:space="preserve">putem </w:t>
      </w:r>
      <w:r w:rsidRPr="00F42328">
        <w:rPr>
          <w:spacing w:val="-2"/>
          <w:lang w:val="hr-BA" w:eastAsia="zh-CN" w:bidi="hi-IN"/>
        </w:rPr>
        <w:t>„kasa humane“ u tržnom centru „FIS“- Kalesija. Zajedničkom akcijom CK i Merhameta otvorena je javna kuhinja, u koju se dovozi hrana iz Tuzle za 139 korisnika, a volonteri CK raznose hranu osob</w:t>
      </w:r>
      <w:r w:rsidR="001344B2">
        <w:rPr>
          <w:spacing w:val="-2"/>
          <w:lang w:val="hr-BA" w:eastAsia="zh-CN" w:bidi="hi-IN"/>
        </w:rPr>
        <w:t>ama</w:t>
      </w:r>
      <w:r w:rsidRPr="00F42328">
        <w:rPr>
          <w:spacing w:val="-2"/>
          <w:lang w:val="hr-BA" w:eastAsia="zh-CN" w:bidi="hi-IN"/>
        </w:rPr>
        <w:t xml:space="preserve"> koje same ne mogu doći. </w:t>
      </w:r>
    </w:p>
    <w:p w:rsidR="001344B2" w:rsidRPr="00B60137" w:rsidRDefault="001A6DA8" w:rsidP="00750FA5">
      <w:pPr>
        <w:rPr>
          <w:spacing w:val="-4"/>
          <w:lang w:val="hr-BA" w:eastAsia="zh-CN" w:bidi="hi-IN"/>
        </w:rPr>
      </w:pPr>
      <w:r w:rsidRPr="00F42328">
        <w:rPr>
          <w:spacing w:val="-4"/>
          <w:lang w:val="hr-BA" w:eastAsia="zh-CN" w:bidi="hi-IN"/>
        </w:rPr>
        <w:t>Ima naznaka da je u općini u porastu broj uživalaca opojnih droga</w:t>
      </w:r>
      <w:r w:rsidR="001344B2">
        <w:rPr>
          <w:spacing w:val="-4"/>
          <w:lang w:val="hr-BA" w:eastAsia="zh-CN" w:bidi="hi-IN"/>
        </w:rPr>
        <w:t xml:space="preserve">. Općina svake godina izdvaja </w:t>
      </w:r>
      <w:r w:rsidRPr="00F42328">
        <w:rPr>
          <w:spacing w:val="-4"/>
          <w:lang w:val="hr-BA" w:eastAsia="zh-CN" w:bidi="hi-IN"/>
        </w:rPr>
        <w:t>sredstva kao participaciju Centru za rehabilitaciju ovisnika o psiho-aktivnim substancama-Smoluća. U saradnji s Policijskom upravom Kalesija i sudskim organima poduzimaju se aktivnosti na otkrivanju, privođenju i procesuiranju lica koja vrše distribuciju opojnih sredstava.</w:t>
      </w:r>
    </w:p>
    <w:p w:rsidR="00460186" w:rsidRPr="00460186" w:rsidRDefault="00460186" w:rsidP="00AD59CB">
      <w:pPr>
        <w:pStyle w:val="Heading4"/>
        <w:rPr>
          <w:lang w:val="hr-HR"/>
        </w:rPr>
      </w:pPr>
      <w:bookmarkStart w:id="59" w:name="_Toc500140019"/>
      <w:r w:rsidRPr="00460186">
        <w:rPr>
          <w:lang w:val="hr-HR"/>
        </w:rPr>
        <w:t>Zdravstvena zaštita</w:t>
      </w:r>
      <w:bookmarkEnd w:id="59"/>
    </w:p>
    <w:p w:rsidR="002E79A7" w:rsidRDefault="002E79A7" w:rsidP="00750FA5">
      <w:bookmarkStart w:id="60" w:name="_Toc174871309"/>
      <w:bookmarkStart w:id="61" w:name="_Toc174848462"/>
      <w:bookmarkStart w:id="62" w:name="_Toc174160857"/>
      <w:bookmarkStart w:id="63" w:name="_Toc172618595"/>
      <w:bookmarkStart w:id="64" w:name="_Toc172618159"/>
      <w:bookmarkStart w:id="65" w:name="_Toc172617748"/>
      <w:bookmarkStart w:id="66" w:name="_Toc161460221"/>
      <w:r>
        <w:t>Zdravstvene usluge na području općine pruža JZU Dom zdravlja (DZ), čiji osnivač je Općina. Dom zdravlja u svom sastavu ima centralni objekat i 7 područnih ambulanti po mjesnim zajednicama</w:t>
      </w:r>
      <w:r>
        <w:rPr>
          <w:rStyle w:val="FootnoteReference"/>
        </w:rPr>
        <w:footnoteReference w:id="31"/>
      </w:r>
      <w:r>
        <w:t>. Primarna zdravstvena zaštita osigurava se u sklopu opće medicine i porodične medicine</w:t>
      </w:r>
      <w:r>
        <w:rPr>
          <w:rStyle w:val="FootnoteReference"/>
        </w:rPr>
        <w:footnoteReference w:id="32"/>
      </w:r>
      <w:r>
        <w:t xml:space="preserve">, i to za kategorije stanovništva iznad 6 godina starosti. Djeca do 6 godina starosti liječe se u pedijatrijskom </w:t>
      </w:r>
      <w:r>
        <w:lastRenderedPageBreak/>
        <w:t>odjeljenju Doma zdravlja. Specijalističko-konsultativna služba</w:t>
      </w:r>
      <w:r>
        <w:rPr>
          <w:rStyle w:val="FootnoteReference"/>
        </w:rPr>
        <w:footnoteReference w:id="33"/>
      </w:r>
      <w:r>
        <w:t xml:space="preserve"> pruža specijalističke usluge i pacijentima iz susjedne općine Sapna i iz okolnih općina u RS. Pri Domu zdravlja organizirana je Patronažna služba</w:t>
      </w:r>
      <w:r>
        <w:rPr>
          <w:rStyle w:val="FootnoteReference"/>
        </w:rPr>
        <w:footnoteReference w:id="34"/>
      </w:r>
      <w:r>
        <w:t>, te Služba hitne pomoći, koja radi kontinuirano 24 sata uz rad 4 tima. Na području općine postoje 2 registrirane privatne stomatološke ordinacije, te 5 privatnih apoteka.</w:t>
      </w:r>
    </w:p>
    <w:p w:rsidR="002E79A7" w:rsidRPr="00DF65EE" w:rsidRDefault="002E79A7" w:rsidP="00750FA5">
      <w:r>
        <w:t>Dom zdravlja još uvijek nema dovoljno prostorija za rad svih službi koje trenutno postoje. Problem nedostataka prostora u Domu zdravlja doći će posebno do izražaja u budućnosti kada se planira otvaranje novih službi. Tehnička opremljenost Doma zdravlja je zadovoljavajuća. U Domu zdravlja evidentna je potreba za ljekarima porodične medicine, stomatolozima, višim i visokim zdravstvenim tehničarima, a kadrovi koji nedostaju trenutno su na specijalizaciji. U toku je kontinuirana edukacija ljekara, medicinskih sestara i specijalista</w:t>
      </w:r>
      <w:r>
        <w:rPr>
          <w:rStyle w:val="FootnoteReference"/>
        </w:rPr>
        <w:footnoteReference w:id="35"/>
      </w:r>
      <w:r>
        <w:t>.</w:t>
      </w:r>
      <w:r w:rsidRPr="00DF65EE">
        <w:rPr>
          <w:color w:val="FF0000"/>
        </w:rPr>
        <w:t xml:space="preserve"> </w:t>
      </w:r>
      <w:r w:rsidRPr="00DF65EE">
        <w:t xml:space="preserve">Planiraju se </w:t>
      </w:r>
      <w:r>
        <w:t>specijalizacije iz ginekologije, interne medicine, neurologije i</w:t>
      </w:r>
      <w:r w:rsidRPr="00DF65EE">
        <w:t xml:space="preserve"> porodične medicine.</w:t>
      </w:r>
    </w:p>
    <w:p w:rsidR="002E79A7" w:rsidRDefault="002E79A7" w:rsidP="00750FA5">
      <w:r>
        <w:t>Ambulante su uglavnom geografski ravnomjerno raspoređene, čime se pokušava osigurati jednak pristup zdravstvenoj zaštiti za stanovništvo prigradskih i seoskih područja. Problem pristupa ustanovama zdravstvene zašt</w:t>
      </w:r>
      <w:r w:rsidRPr="00F37FC8">
        <w:t>i</w:t>
      </w:r>
      <w:r>
        <w:t>te prisutan je jedino u mjesnoj zajednici Seljublje. Iako je od Kalesije udaljena 35 km i nema uspostavljenu autobusku liniju</w:t>
      </w:r>
      <w:r>
        <w:rPr>
          <w:rStyle w:val="FootnoteReference"/>
        </w:rPr>
        <w:footnoteReference w:id="36"/>
      </w:r>
      <w:r>
        <w:t xml:space="preserve">, ova mjesna zajednica sa oko 1.200 stanovnika ne posjeduje ambulantu. Stanovnici ove mjesne zajednice se liječe u Domu zdravlja Tuzla, od kojeg su udaljeni samo 12 km, a za što svake godine moraju dobivati saglasnost od Kantonalnog ministra zdravlja. </w:t>
      </w:r>
    </w:p>
    <w:p w:rsidR="002E79A7" w:rsidRPr="005F6F10" w:rsidRDefault="002E79A7" w:rsidP="00750FA5">
      <w:r>
        <w:t>Ambulanta Tojšiči je zbog dotrajalosti objekta prioritet za izgradnju nove ambulante</w:t>
      </w:r>
      <w:r w:rsidR="00AE38A9">
        <w:t>,</w:t>
      </w:r>
      <w:r>
        <w:t xml:space="preserve"> koja bi pored četiri ordinacije porodične medicine imala i dvije specijalističko-konsultativne ordinacije</w:t>
      </w:r>
      <w:r w:rsidRPr="00DF65EE">
        <w:t>. U toku je izrada idejnog rješenja za ambulantu Tojšići i budžetom je predviđeno 100</w:t>
      </w:r>
      <w:r>
        <w:t>.</w:t>
      </w:r>
      <w:r w:rsidRPr="00DF65EE">
        <w:t>000 KM za početak radova</w:t>
      </w:r>
      <w:r>
        <w:t>. Takođe</w:t>
      </w:r>
      <w:r w:rsidR="00AE38A9">
        <w:t>,</w:t>
      </w:r>
      <w:r>
        <w:t xml:space="preserve"> ambulanta Vukovije Donje zahtijeva dogradnju za još jedan tim porodične medicine. Dograđene su i adaptirane ambulante Gornji Rainci i Gojčin.</w:t>
      </w:r>
      <w:r w:rsidRPr="00DF65EE">
        <w:rPr>
          <w:color w:val="FF0000"/>
        </w:rPr>
        <w:t xml:space="preserve"> </w:t>
      </w:r>
      <w:r>
        <w:t>Tokom 2017.</w:t>
      </w:r>
      <w:r w:rsidRPr="00816975">
        <w:t xml:space="preserve"> godine urađena je neophodna rekonstrukcija ambulanti Gornje Vukovije, Hrasno, Memići, Vukovije Donje, te </w:t>
      </w:r>
      <w:r w:rsidR="00AE38A9">
        <w:t>rekonstrukcija</w:t>
      </w:r>
      <w:r w:rsidRPr="00816975">
        <w:t xml:space="preserve"> centralno</w:t>
      </w:r>
      <w:r w:rsidR="00AE38A9">
        <w:t>g</w:t>
      </w:r>
      <w:r w:rsidRPr="00816975">
        <w:t xml:space="preserve"> objekt</w:t>
      </w:r>
      <w:r w:rsidR="00AE38A9">
        <w:t>a DZ</w:t>
      </w:r>
      <w:r>
        <w:t>,</w:t>
      </w:r>
      <w:r w:rsidRPr="00816975">
        <w:t xml:space="preserve"> a sve u </w:t>
      </w:r>
      <w:r w:rsidRPr="005F6F10">
        <w:t xml:space="preserve">cilju pripreme timova porodične medicine za certifikaciju. </w:t>
      </w:r>
    </w:p>
    <w:p w:rsidR="002E79A7" w:rsidRDefault="002E79A7" w:rsidP="00750FA5">
      <w:r>
        <w:t>U Kalesiji ne postoji porodilište, pa se većina djece s područja općine rađa u UKC Tuzla. Prenatalna i postnatalna zdravstvena zaštita u Domu zdravlja je na zadovoljavajućem nivou. O zdravlju trudnica brinu se ginekolozi uz primjenu ginekološkog ultrazvuka, a DZ vrši redovnu vakcinaciju djece.</w:t>
      </w:r>
    </w:p>
    <w:p w:rsidR="002E79A7" w:rsidRPr="00F37FC8" w:rsidRDefault="002E79A7" w:rsidP="00750FA5">
      <w:r>
        <w:t xml:space="preserve">Prema podacima Zavoda za zdravstveno osiguranje TK, na području općine Kalesija je u 2016. godini bilo je </w:t>
      </w:r>
      <w:r w:rsidR="00AE38A9">
        <w:t>30.567</w:t>
      </w:r>
      <w:r>
        <w:t xml:space="preserve"> zdravstveno osiguranih lica. Među stanovnicima općine koji ni po kom osnovu nemaju reguliranu zdravstvenu zaštitu su nezaposleni koji su ostali bez posla, a nisu se prijavili na Biro u roku od </w:t>
      </w:r>
      <w:r w:rsidR="00AE38A9">
        <w:t>30</w:t>
      </w:r>
      <w:r>
        <w:t xml:space="preserve"> dana, radnici s neriješenim radnim statusom, radnici kojima se ne uplaćuju doprinosi, maturanti koji nisu nastavili školovanje i nisu se prijavili na Biro u roku od 90 dana od završetka škole.</w:t>
      </w:r>
    </w:p>
    <w:p w:rsidR="00AE38A9" w:rsidRDefault="002E79A7" w:rsidP="00750FA5">
      <w:r>
        <w:t xml:space="preserve">U zaključku, može se reći da na području općine Kalesija postoji Dom zdravlja koji pruža adekvatnu primarnu i specijalitičko-konsultativnu zdravstvenu zaštitu, a sistem zdravstvene zaštite u TK je izuzetno dobro reguliran, tako da je pristupačnost zdravstvenoj zaštiti zadovoljavajuća za većinu stanovnika općine. </w:t>
      </w:r>
      <w:r w:rsidR="00AE38A9">
        <w:t xml:space="preserve">Dom zdravlja i pripadajuće ambulante imaju najnužniju opremu za rad, ali je neophodno raditi na proširenju radnog prostora što bi u </w:t>
      </w:r>
      <w:r w:rsidR="00AE38A9" w:rsidRPr="005F6F10">
        <w:t xml:space="preserve">velikoj mjeri doprinijelo poboljšanju kvaliteta zdravstvenih usluga naročito </w:t>
      </w:r>
      <w:bookmarkStart w:id="67" w:name="_Toc144172509"/>
      <w:r w:rsidR="00AE38A9" w:rsidRPr="005F6F10">
        <w:t>u ruralnim dijelovima općine.</w:t>
      </w:r>
      <w:bookmarkEnd w:id="67"/>
      <w:r w:rsidR="00AE38A9" w:rsidRPr="005F6F10">
        <w:t xml:space="preserve"> Problem, koji treba rješavati</w:t>
      </w:r>
      <w:r w:rsidR="005F6F10" w:rsidRPr="005F6F10">
        <w:t xml:space="preserve"> u narednom periodu</w:t>
      </w:r>
      <w:r w:rsidR="00AE38A9" w:rsidRPr="005F6F10">
        <w:t xml:space="preserve">, odnosi se na činjenicu </w:t>
      </w:r>
      <w:r w:rsidRPr="005F6F10">
        <w:t>da oko 20% stanovnika općine ni po kom osnovu nema reguliranu zdravstvenu zaštitu (ukoliko se uporedi broj stanovnika općine i broj osiguranih lica u Za</w:t>
      </w:r>
      <w:r w:rsidR="005F6F10" w:rsidRPr="005F6F10">
        <w:t>vodu za zdravstveno osiguranje)</w:t>
      </w:r>
      <w:r w:rsidRPr="005F6F10">
        <w:t>.</w:t>
      </w:r>
    </w:p>
    <w:p w:rsidR="005D397A" w:rsidRPr="005D397A" w:rsidRDefault="005D397A" w:rsidP="00AD59CB">
      <w:pPr>
        <w:pStyle w:val="Heading4"/>
        <w:rPr>
          <w:lang w:val="hr-HR"/>
        </w:rPr>
      </w:pPr>
      <w:bookmarkStart w:id="68" w:name="_Toc500140020"/>
      <w:r w:rsidRPr="00F76106">
        <w:rPr>
          <w:lang w:val="hr-HR"/>
        </w:rPr>
        <w:lastRenderedPageBreak/>
        <w:t>Obrazovanje</w:t>
      </w:r>
      <w:bookmarkEnd w:id="60"/>
      <w:bookmarkEnd w:id="61"/>
      <w:bookmarkEnd w:id="62"/>
      <w:bookmarkEnd w:id="63"/>
      <w:bookmarkEnd w:id="64"/>
      <w:bookmarkEnd w:id="65"/>
      <w:bookmarkEnd w:id="66"/>
      <w:bookmarkEnd w:id="68"/>
    </w:p>
    <w:p w:rsidR="006A34C3" w:rsidRDefault="005D397A" w:rsidP="00750FA5">
      <w:r>
        <w:t>U skladu s postojećom zakonskom regulativom osnovno i srednje obrazovanje je u nadležnosti Kantona, dok je predškolsko obrazovanje u nadležnosti Općine</w:t>
      </w:r>
      <w:r>
        <w:rPr>
          <w:rStyle w:val="FootnoteReference"/>
        </w:rPr>
        <w:footnoteReference w:id="37"/>
      </w:r>
      <w:r>
        <w:t>. Nadležnosti Općine u oblasti osnovnog i srednjeg obrazovanja su ograničene, tako da lokalne vlasti imaju jako malo uticaja na razvoj na ovom polju</w:t>
      </w:r>
      <w:r>
        <w:rPr>
          <w:rStyle w:val="FootnoteReference"/>
        </w:rPr>
        <w:footnoteReference w:id="38"/>
      </w:r>
      <w:r>
        <w:t>.</w:t>
      </w:r>
    </w:p>
    <w:p w:rsidR="005D397A" w:rsidRDefault="006A34C3" w:rsidP="00750FA5">
      <w:r>
        <w:t>Na području općine Kalesija ne postoji Javna ustanova za predškolski odgoj,</w:t>
      </w:r>
      <w:r w:rsidR="00F76106">
        <w:t xml:space="preserve"> </w:t>
      </w:r>
      <w:r>
        <w:t>ali djeluje jedna pr</w:t>
      </w:r>
      <w:r w:rsidR="000416EF">
        <w:t>ivatna predškolska ustanova „Ve</w:t>
      </w:r>
      <w:r>
        <w:t xml:space="preserve">di princ“ koju pohađa 15 polaznika. </w:t>
      </w:r>
      <w:r w:rsidR="00F76106">
        <w:t>U toku 2017. godine</w:t>
      </w:r>
      <w:r>
        <w:t xml:space="preserve"> obavezni vid preškolskog odgoja za djecu pred polazak u prvi razred pohađa</w:t>
      </w:r>
      <w:r w:rsidR="00F76106">
        <w:t>lo je</w:t>
      </w:r>
      <w:r>
        <w:t xml:space="preserve"> 333 polaznika, a odgojni proces se izvodi u sklopu Osnovnih škola u trajanju 150 nastavnih sati. Prioritet u oblasti predškolskog odgoja predstavlja formiranje javne predškolske ustanove i izgradnja funkcionalnog objekta za predškolsku ustanovu u centru Kalesije.</w:t>
      </w:r>
    </w:p>
    <w:p w:rsidR="005D397A" w:rsidRPr="00B60137" w:rsidRDefault="005D397A" w:rsidP="00750FA5">
      <w:pPr>
        <w:rPr>
          <w:color w:val="000000" w:themeColor="text1"/>
          <w:lang w:val="hr-HR"/>
        </w:rPr>
      </w:pPr>
      <w:r w:rsidRPr="005D397A">
        <w:t>Na području općine nalazi se 5 centralnih osnovnih škola sa 14 područnih škola</w:t>
      </w:r>
      <w:r w:rsidR="00F17F0B">
        <w:t xml:space="preserve"> (u</w:t>
      </w:r>
      <w:r w:rsidRPr="005D397A">
        <w:t>kupan broj učenika u školskoj</w:t>
      </w:r>
      <w:r w:rsidRPr="005D397A">
        <w:rPr>
          <w:color w:val="000000" w:themeColor="text1"/>
          <w:lang w:val="hr-HR"/>
        </w:rPr>
        <w:t xml:space="preserve">  2016/17. je 3.053), </w:t>
      </w:r>
      <w:r w:rsidRPr="005D397A">
        <w:rPr>
          <w:lang w:val="hr-HR"/>
        </w:rPr>
        <w:t>te 1 Mješovita srednja škola</w:t>
      </w:r>
      <w:r w:rsidR="00F17F0B">
        <w:rPr>
          <w:lang w:val="hr-HR"/>
        </w:rPr>
        <w:t xml:space="preserve"> </w:t>
      </w:r>
      <w:r w:rsidR="00F17F0B">
        <w:rPr>
          <w:color w:val="000000" w:themeColor="text1"/>
          <w:lang w:val="hr-HR"/>
        </w:rPr>
        <w:t>(u</w:t>
      </w:r>
      <w:r w:rsidRPr="005D397A">
        <w:rPr>
          <w:color w:val="000000" w:themeColor="text1"/>
          <w:lang w:val="hr-HR"/>
        </w:rPr>
        <w:t>kupan broj učenika u školskoj 2016/2017. je 627)</w:t>
      </w:r>
      <w:r w:rsidR="00417A42">
        <w:rPr>
          <w:color w:val="000000" w:themeColor="text1"/>
          <w:lang w:val="hr-HR"/>
        </w:rPr>
        <w:t>,</w:t>
      </w:r>
      <w:r w:rsidRPr="005D397A">
        <w:rPr>
          <w:color w:val="000000" w:themeColor="text1"/>
          <w:lang w:val="hr-HR"/>
        </w:rPr>
        <w:t xml:space="preserve"> s odjeljenjima Medicinske škole, Tehničke škole i Stručne škole</w:t>
      </w:r>
      <w:r w:rsidRPr="00F37FC8">
        <w:rPr>
          <w:color w:val="000000" w:themeColor="text1"/>
          <w:lang w:val="hr-HR"/>
        </w:rPr>
        <w:t>.</w:t>
      </w:r>
      <w:r w:rsidR="00F17F0B">
        <w:rPr>
          <w:color w:val="000000" w:themeColor="text1"/>
          <w:lang w:val="hr-HR"/>
        </w:rPr>
        <w:t xml:space="preserve"> </w:t>
      </w:r>
      <w:r w:rsidR="00F17F0B" w:rsidRPr="00F17F0B">
        <w:rPr>
          <w:color w:val="000000" w:themeColor="text1"/>
          <w:lang w:val="hr-HR"/>
        </w:rPr>
        <w:t xml:space="preserve">Broj učenika u prethodne 3 godine u osnovnim i srednjim školama se ustabilio i </w:t>
      </w:r>
      <w:r w:rsidR="00F17F0B">
        <w:rPr>
          <w:color w:val="000000" w:themeColor="text1"/>
          <w:lang w:val="hr-HR"/>
        </w:rPr>
        <w:t>kreće se</w:t>
      </w:r>
      <w:r w:rsidR="00F17F0B" w:rsidRPr="00F17F0B">
        <w:rPr>
          <w:color w:val="000000" w:themeColor="text1"/>
          <w:lang w:val="hr-HR"/>
        </w:rPr>
        <w:t xml:space="preserve"> </w:t>
      </w:r>
      <w:r w:rsidR="00F17F0B">
        <w:rPr>
          <w:color w:val="000000" w:themeColor="text1"/>
          <w:lang w:val="hr-HR"/>
        </w:rPr>
        <w:t>u rasponu</w:t>
      </w:r>
      <w:r w:rsidR="00F17F0B" w:rsidRPr="00F17F0B">
        <w:rPr>
          <w:color w:val="000000" w:themeColor="text1"/>
          <w:lang w:val="hr-HR"/>
        </w:rPr>
        <w:t xml:space="preserve"> 3</w:t>
      </w:r>
      <w:r w:rsidR="00F17F0B">
        <w:rPr>
          <w:color w:val="000000" w:themeColor="text1"/>
          <w:lang w:val="hr-HR"/>
        </w:rPr>
        <w:t>.00</w:t>
      </w:r>
      <w:r w:rsidR="00F17F0B" w:rsidRPr="00F17F0B">
        <w:rPr>
          <w:color w:val="000000" w:themeColor="text1"/>
          <w:lang w:val="hr-HR"/>
        </w:rPr>
        <w:t>0</w:t>
      </w:r>
      <w:r w:rsidR="00F17F0B">
        <w:rPr>
          <w:color w:val="000000" w:themeColor="text1"/>
          <w:lang w:val="hr-HR"/>
        </w:rPr>
        <w:t>-3.150</w:t>
      </w:r>
      <w:r w:rsidR="00F17F0B" w:rsidRPr="00F17F0B">
        <w:rPr>
          <w:color w:val="000000" w:themeColor="text1"/>
          <w:lang w:val="hr-HR"/>
        </w:rPr>
        <w:t xml:space="preserve"> učenika u osnovnim</w:t>
      </w:r>
      <w:r w:rsidR="00F17F0B">
        <w:rPr>
          <w:color w:val="000000" w:themeColor="text1"/>
          <w:lang w:val="hr-HR"/>
        </w:rPr>
        <w:t xml:space="preserve"> školama</w:t>
      </w:r>
      <w:r w:rsidR="00F17F0B" w:rsidRPr="00F17F0B">
        <w:rPr>
          <w:color w:val="000000" w:themeColor="text1"/>
          <w:lang w:val="hr-HR"/>
        </w:rPr>
        <w:t xml:space="preserve"> i </w:t>
      </w:r>
      <w:r w:rsidR="00F17F0B">
        <w:rPr>
          <w:color w:val="000000" w:themeColor="text1"/>
          <w:lang w:val="hr-HR"/>
        </w:rPr>
        <w:t>u rasponu 500-</w:t>
      </w:r>
      <w:r w:rsidR="00F17F0B" w:rsidRPr="00F17F0B">
        <w:rPr>
          <w:color w:val="000000" w:themeColor="text1"/>
          <w:lang w:val="hr-HR"/>
        </w:rPr>
        <w:t>650 učenika u srednjoj školi.</w:t>
      </w:r>
      <w:r w:rsidR="006517D3">
        <w:rPr>
          <w:color w:val="000000" w:themeColor="text1"/>
          <w:lang w:val="hr-HR"/>
        </w:rPr>
        <w:t xml:space="preserve"> </w:t>
      </w:r>
    </w:p>
    <w:p w:rsidR="005D397A" w:rsidRPr="00F37FC8" w:rsidRDefault="005D397A" w:rsidP="00750FA5">
      <w:pPr>
        <w:rPr>
          <w:color w:val="000000" w:themeColor="text1"/>
          <w:lang w:val="hr-HR"/>
        </w:rPr>
      </w:pPr>
      <w:r w:rsidRPr="00DB7001">
        <w:rPr>
          <w:color w:val="000000" w:themeColor="text1"/>
          <w:lang w:val="hr-HR"/>
        </w:rPr>
        <w:t>U svim školama aktivno djeluje Zajednica učenika</w:t>
      </w:r>
      <w:r w:rsidR="00417A42" w:rsidRPr="00DB7001">
        <w:rPr>
          <w:color w:val="000000" w:themeColor="text1"/>
          <w:lang w:val="hr-HR"/>
        </w:rPr>
        <w:t>, V</w:t>
      </w:r>
      <w:r w:rsidRPr="00DB7001">
        <w:rPr>
          <w:color w:val="000000" w:themeColor="text1"/>
          <w:lang w:val="hr-HR"/>
        </w:rPr>
        <w:t>ijeće učenika i Vijeće roditelja</w:t>
      </w:r>
      <w:r w:rsidRPr="00DB7001">
        <w:rPr>
          <w:lang w:val="hr-HR"/>
        </w:rPr>
        <w:t xml:space="preserve">. Kanton, kao osnivač osnovnih i srednjih škola, finansira njihovu redovnu djelatnost (lični dohoci zaposlenih, topli obrok, materijalni troškovi, takmičenja, kupovinu školske opreme i učila, a po </w:t>
      </w:r>
      <w:r w:rsidRPr="00DB7001">
        <w:rPr>
          <w:color w:val="000000" w:themeColor="text1"/>
          <w:lang w:val="hr-HR"/>
        </w:rPr>
        <w:t xml:space="preserve">mogućnosti nabavku školskih udžbenika, priručnika i prevoz učenika koji stanuju na udaljenosti većoj od 4 </w:t>
      </w:r>
      <w:r w:rsidR="00417A42" w:rsidRPr="00DB7001">
        <w:rPr>
          <w:color w:val="000000" w:themeColor="text1"/>
          <w:lang w:val="hr-HR"/>
        </w:rPr>
        <w:t>km od škole). Međutim, t</w:t>
      </w:r>
      <w:r w:rsidRPr="00DB7001">
        <w:rPr>
          <w:color w:val="000000" w:themeColor="text1"/>
          <w:lang w:val="hr-HR"/>
        </w:rPr>
        <w:t xml:space="preserve">a sredstva </w:t>
      </w:r>
      <w:r w:rsidR="00417A42" w:rsidRPr="00DB7001">
        <w:rPr>
          <w:color w:val="000000" w:themeColor="text1"/>
          <w:lang w:val="hr-HR"/>
        </w:rPr>
        <w:t xml:space="preserve">su </w:t>
      </w:r>
      <w:r w:rsidRPr="00DB7001">
        <w:rPr>
          <w:color w:val="000000" w:themeColor="text1"/>
          <w:lang w:val="hr-HR"/>
        </w:rPr>
        <w:t>nedovoljna, pa i Općina iz svog budžeta izdvaja određena sredstva za poboljšanje vaspitno-obrazovnog rada</w:t>
      </w:r>
      <w:r w:rsidRPr="00DB7001">
        <w:rPr>
          <w:rStyle w:val="FootnoteReference"/>
          <w:color w:val="000000" w:themeColor="text1"/>
          <w:lang w:val="hr-HR"/>
        </w:rPr>
        <w:footnoteReference w:id="39"/>
      </w:r>
      <w:r w:rsidRPr="00DB7001">
        <w:rPr>
          <w:color w:val="000000" w:themeColor="text1"/>
          <w:lang w:val="hr-HR"/>
        </w:rPr>
        <w:t>. Općina finansira i odrađivanje pripravničkog staža za diplomirane nastavnike i profesore kako bi mogli položiti stručni ispit za rad u školama. Takođe svake godine stipendira određeni broj nadarenih učenika i studenata.</w:t>
      </w:r>
    </w:p>
    <w:p w:rsidR="005D397A" w:rsidRPr="00F37FC8" w:rsidRDefault="005D397A" w:rsidP="00750FA5">
      <w:pPr>
        <w:rPr>
          <w:color w:val="000000" w:themeColor="text1"/>
        </w:rPr>
      </w:pPr>
      <w:r w:rsidRPr="00F37FC8">
        <w:rPr>
          <w:color w:val="000000" w:themeColor="text1"/>
        </w:rPr>
        <w:t>Većina škola se suočava s problemima loše opremljenosti kabineta za biologiju, hemiju, matematiku, informatiku i fiziku, te radionica za praktičnu nastavu.</w:t>
      </w:r>
      <w:r w:rsidR="00DB7001">
        <w:rPr>
          <w:color w:val="000000" w:themeColor="text1"/>
        </w:rPr>
        <w:t xml:space="preserve"> </w:t>
      </w:r>
      <w:r w:rsidRPr="00F37FC8">
        <w:rPr>
          <w:color w:val="000000" w:themeColor="text1"/>
        </w:rPr>
        <w:t>OŠ „Kalesija“ ne posjeduje fis</w:t>
      </w:r>
      <w:r w:rsidR="00DB7001">
        <w:rPr>
          <w:color w:val="000000" w:themeColor="text1"/>
        </w:rPr>
        <w:t>kulturnu salu za tjelesni odgoj, a f</w:t>
      </w:r>
      <w:r w:rsidRPr="00F37FC8">
        <w:rPr>
          <w:color w:val="000000" w:themeColor="text1"/>
        </w:rPr>
        <w:t xml:space="preserve">iskulturne sale u </w:t>
      </w:r>
      <w:r w:rsidR="00DB7001">
        <w:rPr>
          <w:color w:val="000000" w:themeColor="text1"/>
        </w:rPr>
        <w:t xml:space="preserve">drugim </w:t>
      </w:r>
      <w:r w:rsidRPr="00F37FC8">
        <w:rPr>
          <w:color w:val="000000" w:themeColor="text1"/>
        </w:rPr>
        <w:t>školama nisu dovoljno opremljene neophodnim rekvizitima. Biblioteke u matičnim školama su oskudno opremljene, dok nijedna područna škola nema biblioteku, tako da učenicima, posebno onim iz ruralnih dijelova</w:t>
      </w:r>
      <w:r w:rsidR="00DB7001">
        <w:rPr>
          <w:color w:val="000000" w:themeColor="text1"/>
        </w:rPr>
        <w:t xml:space="preserve"> općine to predstavlja problem.</w:t>
      </w:r>
      <w:r w:rsidRPr="00F37FC8">
        <w:rPr>
          <w:color w:val="000000" w:themeColor="text1"/>
        </w:rPr>
        <w:t xml:space="preserve"> U</w:t>
      </w:r>
      <w:r w:rsidR="00DB7001">
        <w:rPr>
          <w:color w:val="000000" w:themeColor="text1"/>
        </w:rPr>
        <w:t>z 16 školskih objekata nalaze se</w:t>
      </w:r>
      <w:r w:rsidRPr="00F37FC8">
        <w:rPr>
          <w:color w:val="000000" w:themeColor="text1"/>
        </w:rPr>
        <w:t xml:space="preserve"> asfaltirani poligon</w:t>
      </w:r>
      <w:r w:rsidR="00DB7001">
        <w:rPr>
          <w:color w:val="000000" w:themeColor="text1"/>
        </w:rPr>
        <w:t>i</w:t>
      </w:r>
      <w:r w:rsidRPr="00F37FC8">
        <w:rPr>
          <w:color w:val="000000" w:themeColor="text1"/>
        </w:rPr>
        <w:t xml:space="preserve"> za izvođenje tjelesnog odgoja</w:t>
      </w:r>
      <w:r w:rsidR="006C5211">
        <w:rPr>
          <w:color w:val="000000" w:themeColor="text1"/>
        </w:rPr>
        <w:t>, a postoji plan da se sportski tereni izgrade uz sve školske objekte</w:t>
      </w:r>
      <w:r w:rsidRPr="00F37FC8">
        <w:rPr>
          <w:color w:val="000000" w:themeColor="text1"/>
        </w:rPr>
        <w:t>.</w:t>
      </w:r>
      <w:r w:rsidR="00DB7001">
        <w:rPr>
          <w:color w:val="000000" w:themeColor="text1"/>
        </w:rPr>
        <w:t xml:space="preserve"> </w:t>
      </w:r>
      <w:r w:rsidRPr="00F37FC8">
        <w:rPr>
          <w:color w:val="000000" w:themeColor="text1"/>
        </w:rPr>
        <w:t>U Hrasnu Gornjem je izgrađena nova školska zgrada koja je stradala u klizištu 2015.</w:t>
      </w:r>
      <w:r w:rsidR="006C5211">
        <w:rPr>
          <w:color w:val="000000" w:themeColor="text1"/>
        </w:rPr>
        <w:t xml:space="preserve"> </w:t>
      </w:r>
      <w:r w:rsidRPr="00F37FC8">
        <w:rPr>
          <w:color w:val="000000" w:themeColor="text1"/>
        </w:rPr>
        <w:t>godine. U nekim školama loše su riješeni sanitarni čvorovi</w:t>
      </w:r>
      <w:r w:rsidRPr="00F37FC8">
        <w:rPr>
          <w:rStyle w:val="FootnoteReference"/>
          <w:color w:val="000000" w:themeColor="text1"/>
        </w:rPr>
        <w:footnoteReference w:id="40"/>
      </w:r>
      <w:r w:rsidR="006C5211">
        <w:rPr>
          <w:color w:val="000000" w:themeColor="text1"/>
        </w:rPr>
        <w:t>.</w:t>
      </w:r>
      <w:r w:rsidRPr="00F37FC8">
        <w:rPr>
          <w:color w:val="000000" w:themeColor="text1"/>
        </w:rPr>
        <w:t xml:space="preserve"> Centralni školski objekti kao i dio područnih škola su spojeni na Gradski vodovod , dok se dio područnih škola snadbijeva iz lokalnih vodovoda</w:t>
      </w:r>
      <w:r w:rsidR="006C5211">
        <w:rPr>
          <w:color w:val="000000" w:themeColor="text1"/>
        </w:rPr>
        <w:t>, uz ugrađene</w:t>
      </w:r>
      <w:r w:rsidR="006C5211" w:rsidRPr="006C5211">
        <w:rPr>
          <w:color w:val="000000" w:themeColor="text1"/>
        </w:rPr>
        <w:t xml:space="preserve"> </w:t>
      </w:r>
      <w:r w:rsidR="006C5211" w:rsidRPr="00F37FC8">
        <w:rPr>
          <w:color w:val="000000" w:themeColor="text1"/>
        </w:rPr>
        <w:t>filter</w:t>
      </w:r>
      <w:r w:rsidR="006C5211">
        <w:rPr>
          <w:color w:val="000000" w:themeColor="text1"/>
        </w:rPr>
        <w:t>e</w:t>
      </w:r>
      <w:r w:rsidR="006C5211" w:rsidRPr="00F37FC8">
        <w:rPr>
          <w:color w:val="000000" w:themeColor="text1"/>
        </w:rPr>
        <w:t xml:space="preserve"> za prečišćavanje vode</w:t>
      </w:r>
      <w:r w:rsidRPr="00F37FC8">
        <w:rPr>
          <w:color w:val="000000" w:themeColor="text1"/>
        </w:rPr>
        <w:t>.</w:t>
      </w:r>
      <w:r>
        <w:rPr>
          <w:color w:val="000000" w:themeColor="text1"/>
        </w:rPr>
        <w:t xml:space="preserve"> </w:t>
      </w:r>
      <w:r w:rsidRPr="00F37FC8">
        <w:rPr>
          <w:color w:val="000000" w:themeColor="text1"/>
        </w:rPr>
        <w:t>Op</w:t>
      </w:r>
      <w:r w:rsidR="00DB7001">
        <w:rPr>
          <w:color w:val="000000" w:themeColor="text1"/>
        </w:rPr>
        <w:t>ć</w:t>
      </w:r>
      <w:r w:rsidRPr="00F37FC8">
        <w:rPr>
          <w:color w:val="000000" w:themeColor="text1"/>
        </w:rPr>
        <w:t xml:space="preserve">ina Kalesija je finansirala priključenje </w:t>
      </w:r>
      <w:r w:rsidR="006C5211">
        <w:rPr>
          <w:color w:val="000000" w:themeColor="text1"/>
        </w:rPr>
        <w:t xml:space="preserve">2 </w:t>
      </w:r>
      <w:r w:rsidR="00DB7001">
        <w:rPr>
          <w:color w:val="000000" w:themeColor="text1"/>
        </w:rPr>
        <w:t>područn</w:t>
      </w:r>
      <w:r w:rsidR="006C5211">
        <w:rPr>
          <w:color w:val="000000" w:themeColor="text1"/>
        </w:rPr>
        <w:t>e</w:t>
      </w:r>
      <w:r w:rsidR="00DB7001">
        <w:rPr>
          <w:color w:val="000000" w:themeColor="text1"/>
        </w:rPr>
        <w:t xml:space="preserve"> škol</w:t>
      </w:r>
      <w:r w:rsidR="006C5211">
        <w:rPr>
          <w:color w:val="000000" w:themeColor="text1"/>
        </w:rPr>
        <w:t>e</w:t>
      </w:r>
      <w:r w:rsidR="00DB7001">
        <w:rPr>
          <w:color w:val="000000" w:themeColor="text1"/>
        </w:rPr>
        <w:t xml:space="preserve"> (PŠ)</w:t>
      </w:r>
      <w:r w:rsidRPr="00F37FC8">
        <w:rPr>
          <w:color w:val="000000" w:themeColor="text1"/>
        </w:rPr>
        <w:t xml:space="preserve"> na gradski vodovod </w:t>
      </w:r>
      <w:r w:rsidR="006C5211">
        <w:rPr>
          <w:color w:val="000000" w:themeColor="text1"/>
        </w:rPr>
        <w:t>(</w:t>
      </w:r>
      <w:r w:rsidRPr="00F37FC8">
        <w:rPr>
          <w:color w:val="000000" w:themeColor="text1"/>
        </w:rPr>
        <w:t>PŠ Miljanovci i PŠ Dubnica</w:t>
      </w:r>
      <w:r w:rsidR="006C5211">
        <w:rPr>
          <w:color w:val="000000" w:themeColor="text1"/>
        </w:rPr>
        <w:t>)</w:t>
      </w:r>
      <w:r w:rsidRPr="00F37FC8">
        <w:rPr>
          <w:color w:val="000000" w:themeColor="text1"/>
        </w:rPr>
        <w:t>.</w:t>
      </w:r>
      <w:r w:rsidR="00DB7001">
        <w:rPr>
          <w:color w:val="000000" w:themeColor="text1"/>
        </w:rPr>
        <w:t xml:space="preserve"> </w:t>
      </w:r>
      <w:r w:rsidRPr="00F37FC8">
        <w:rPr>
          <w:color w:val="000000" w:themeColor="text1"/>
        </w:rPr>
        <w:t xml:space="preserve">Nepostojanje vanjske rasvjete ispred većine </w:t>
      </w:r>
      <w:r w:rsidR="00DB7001">
        <w:rPr>
          <w:color w:val="000000" w:themeColor="text1"/>
        </w:rPr>
        <w:t>PŠ</w:t>
      </w:r>
      <w:r w:rsidRPr="00F37FC8">
        <w:rPr>
          <w:color w:val="000000" w:themeColor="text1"/>
        </w:rPr>
        <w:t xml:space="preserve"> </w:t>
      </w:r>
      <w:r w:rsidR="006C5211">
        <w:rPr>
          <w:color w:val="000000" w:themeColor="text1"/>
        </w:rPr>
        <w:t>predstavlja problem</w:t>
      </w:r>
      <w:r w:rsidRPr="00F37FC8">
        <w:rPr>
          <w:color w:val="000000" w:themeColor="text1"/>
        </w:rPr>
        <w:t xml:space="preserve">, </w:t>
      </w:r>
      <w:r w:rsidR="006C5211">
        <w:rPr>
          <w:color w:val="000000" w:themeColor="text1"/>
        </w:rPr>
        <w:t>jer se dešavaju slučajevi</w:t>
      </w:r>
      <w:r w:rsidRPr="00F37FC8">
        <w:rPr>
          <w:color w:val="000000" w:themeColor="text1"/>
        </w:rPr>
        <w:t xml:space="preserve"> vandalizma i toksikomanije. Zgrada Mješovite srednje škole je nakon rata popravljena, ali je neophodno raditi na sanaciji krova koji prokišnjava, a sa istim problemom se suočava i OŠ Kalesija.</w:t>
      </w:r>
      <w:r w:rsidR="006C5211">
        <w:rPr>
          <w:color w:val="000000" w:themeColor="text1"/>
        </w:rPr>
        <w:t xml:space="preserve"> </w:t>
      </w:r>
      <w:r w:rsidRPr="00F37FC8">
        <w:rPr>
          <w:color w:val="000000" w:themeColor="text1"/>
        </w:rPr>
        <w:t xml:space="preserve">U školi Tojšići je neophodna zamjena dotrajalih kotlova, </w:t>
      </w:r>
      <w:r w:rsidR="006C5211">
        <w:rPr>
          <w:color w:val="000000" w:themeColor="text1"/>
        </w:rPr>
        <w:t>a</w:t>
      </w:r>
      <w:r w:rsidRPr="00F37FC8">
        <w:rPr>
          <w:color w:val="000000" w:themeColor="text1"/>
        </w:rPr>
        <w:t xml:space="preserve"> u OŠ Rainci Gornji </w:t>
      </w:r>
      <w:r w:rsidR="006C5211">
        <w:rPr>
          <w:color w:val="000000" w:themeColor="text1"/>
        </w:rPr>
        <w:t>zamjena prozora</w:t>
      </w:r>
      <w:r w:rsidRPr="00F37FC8">
        <w:rPr>
          <w:color w:val="000000" w:themeColor="text1"/>
        </w:rPr>
        <w:t>. Iako velika većina učenika koji pohađaju srednju školu treba prevoz do škole</w:t>
      </w:r>
      <w:r w:rsidRPr="00F37FC8">
        <w:rPr>
          <w:rStyle w:val="FootnoteReference"/>
          <w:color w:val="000000" w:themeColor="text1"/>
        </w:rPr>
        <w:footnoteReference w:id="41"/>
      </w:r>
      <w:r w:rsidRPr="00F37FC8">
        <w:rPr>
          <w:color w:val="000000" w:themeColor="text1"/>
        </w:rPr>
        <w:t xml:space="preserve">, prevoz nije organiziran, a karte se ne subvencioniraju. Jedan broj učenika koristi privatne kombije za prevoz do </w:t>
      </w:r>
      <w:r w:rsidRPr="00F37FC8">
        <w:rPr>
          <w:color w:val="000000" w:themeColor="text1"/>
        </w:rPr>
        <w:lastRenderedPageBreak/>
        <w:t>škole, a veći broj učenika pješači do škole više od 9 km u jednom pravcu</w:t>
      </w:r>
      <w:r w:rsidRPr="00F37FC8">
        <w:rPr>
          <w:rStyle w:val="FootnoteReference"/>
          <w:color w:val="000000" w:themeColor="text1"/>
        </w:rPr>
        <w:footnoteReference w:id="42"/>
      </w:r>
      <w:r w:rsidRPr="00F37FC8">
        <w:rPr>
          <w:color w:val="000000" w:themeColor="text1"/>
        </w:rPr>
        <w:t>. U sr</w:t>
      </w:r>
      <w:r w:rsidR="006C5211">
        <w:rPr>
          <w:color w:val="000000" w:themeColor="text1"/>
        </w:rPr>
        <w:t>ednjoj školi ima pojava nasilja, tuče i</w:t>
      </w:r>
      <w:r w:rsidRPr="00F37FC8">
        <w:rPr>
          <w:color w:val="000000" w:themeColor="text1"/>
        </w:rPr>
        <w:t xml:space="preserve"> vandalizma, te je angažovano obezbjeđenj</w:t>
      </w:r>
      <w:r w:rsidR="006C5211">
        <w:rPr>
          <w:color w:val="000000" w:themeColor="text1"/>
        </w:rPr>
        <w:t>e</w:t>
      </w:r>
      <w:r w:rsidRPr="00F37FC8">
        <w:rPr>
          <w:color w:val="000000" w:themeColor="text1"/>
        </w:rPr>
        <w:t xml:space="preserve"> u školi.</w:t>
      </w:r>
      <w:r>
        <w:rPr>
          <w:color w:val="000000" w:themeColor="text1"/>
        </w:rPr>
        <w:t xml:space="preserve"> </w:t>
      </w:r>
      <w:r w:rsidRPr="00F37FC8">
        <w:rPr>
          <w:color w:val="000000" w:themeColor="text1"/>
        </w:rPr>
        <w:t>Sve centralne škole posjeduju video nadzor što doprinosi poboljšanju bezbjednosti učenika.</w:t>
      </w:r>
    </w:p>
    <w:p w:rsidR="005D397A" w:rsidRPr="00F37FC8" w:rsidRDefault="005D397A" w:rsidP="00750FA5">
      <w:pPr>
        <w:rPr>
          <w:color w:val="000000" w:themeColor="text1"/>
        </w:rPr>
      </w:pPr>
      <w:r w:rsidRPr="00F37FC8">
        <w:rPr>
          <w:color w:val="000000" w:themeColor="text1"/>
        </w:rPr>
        <w:t>Prema raspoloživim podacima za 2016/2017.godinu, 13 učenika romske nacionalnosti pohađa osnovnu školu, dok nijedan učenik ne poh</w:t>
      </w:r>
      <w:r w:rsidR="00DB7001">
        <w:rPr>
          <w:color w:val="000000" w:themeColor="text1"/>
        </w:rPr>
        <w:t>ađa srednju školu</w:t>
      </w:r>
      <w:r w:rsidRPr="00F37FC8">
        <w:rPr>
          <w:color w:val="000000" w:themeColor="text1"/>
        </w:rPr>
        <w:t>. Školovanje romske djece je općenito otežano zbog lošeg materijalnog statusa njihovih roditelja, te Općina redovno u svom budžetu predviđa određena sredstva za pomoć obrazovanju romske i druge djece. Osim toga, Ministarstvo obrazovanja, nauke, kulture i sporta TK predviđa određena sredstva za nabavku udžbenika za romsku djecu, ali raspodjela tih sredstava nije adekvatna, jer se u većini slučajeva ne poštuje lista knjiga koju predlažu škole.</w:t>
      </w:r>
    </w:p>
    <w:p w:rsidR="00DB7001" w:rsidRDefault="005D397A" w:rsidP="00750FA5">
      <w:pPr>
        <w:rPr>
          <w:color w:val="000000" w:themeColor="text1"/>
          <w:lang w:val="hr-HR"/>
        </w:rPr>
      </w:pPr>
      <w:r w:rsidRPr="00F37FC8">
        <w:rPr>
          <w:bCs/>
          <w:color w:val="000000" w:themeColor="text1"/>
          <w:lang w:val="hr-HR"/>
        </w:rPr>
        <w:t xml:space="preserve">Neadekvatna opremljenost većine škola ne garantira potpuno ostvarivanje prava iz ove oblasti, naročito sa aspekta kvalitete obrazovanja. Osim toga, neorganiziran prevoz za učenike osnovnih i srednje škole, te izostanak finansiranja prevoza učenika s kantonalnog nivoa upućuje na to da </w:t>
      </w:r>
      <w:r w:rsidRPr="00F37FC8">
        <w:rPr>
          <w:color w:val="000000" w:themeColor="text1"/>
          <w:lang w:val="hr-HR"/>
        </w:rPr>
        <w:t>pristup obrazovnim institucijama</w:t>
      </w:r>
      <w:r w:rsidRPr="00F37FC8">
        <w:rPr>
          <w:bCs/>
          <w:color w:val="000000" w:themeColor="text1"/>
          <w:lang w:val="hr-HR"/>
        </w:rPr>
        <w:t xml:space="preserve"> nije na odgovarajući način zagarantiran u općini Kalesija. </w:t>
      </w:r>
      <w:r w:rsidRPr="00F37FC8">
        <w:rPr>
          <w:color w:val="000000" w:themeColor="text1"/>
          <w:lang w:val="hr-HR"/>
        </w:rPr>
        <w:t>Iako obrazovanje nije u nadležnosti Općine, općinske vlasti, u saradnji sa školama poduzimaju korake za osiguranje jednakog pristupa obrazovanju za svu djecu u skladu s međunarodnim standardima o ljudskim pravima, a i domaćim zakonima</w:t>
      </w:r>
      <w:r w:rsidR="00DB7001">
        <w:rPr>
          <w:color w:val="000000" w:themeColor="text1"/>
          <w:lang w:val="hr-HR"/>
        </w:rPr>
        <w:t>.</w:t>
      </w:r>
    </w:p>
    <w:p w:rsidR="00593AFB" w:rsidRPr="008051AA" w:rsidRDefault="000C1F27" w:rsidP="00AD59CB">
      <w:pPr>
        <w:pStyle w:val="Heading4"/>
      </w:pPr>
      <w:bookmarkStart w:id="69" w:name="_Toc500140021"/>
      <w:r>
        <w:t>S</w:t>
      </w:r>
      <w:r w:rsidR="00593AFB" w:rsidRPr="008051AA">
        <w:t>tanj</w:t>
      </w:r>
      <w:r w:rsidR="008051AA">
        <w:t>e</w:t>
      </w:r>
      <w:r w:rsidR="00593AFB" w:rsidRPr="008051AA">
        <w:t xml:space="preserve"> kriminaliteta</w:t>
      </w:r>
      <w:bookmarkEnd w:id="69"/>
      <w:r w:rsidR="00593AFB" w:rsidRPr="008051AA">
        <w:t xml:space="preserve"> </w:t>
      </w:r>
    </w:p>
    <w:p w:rsidR="008051AA" w:rsidRPr="007A0893" w:rsidRDefault="00593AFB" w:rsidP="00750FA5">
      <w:pPr>
        <w:rPr>
          <w:iCs/>
        </w:rPr>
      </w:pPr>
      <w:r w:rsidRPr="007A0893">
        <w:rPr>
          <w:iCs/>
        </w:rPr>
        <w:t>Stanje kriminaliteta na području općine Kalesija sa aspekta brojnosti izvršenih krivičnih djela</w:t>
      </w:r>
      <w:r w:rsidR="00E47C9E">
        <w:rPr>
          <w:iCs/>
        </w:rPr>
        <w:t xml:space="preserve"> ocjenjuje se kao</w:t>
      </w:r>
      <w:r w:rsidRPr="007A0893">
        <w:rPr>
          <w:iCs/>
        </w:rPr>
        <w:t xml:space="preserve"> dobro, jer je evidentno smanjenje broja krivičnih djela</w:t>
      </w:r>
      <w:r w:rsidR="008051AA">
        <w:rPr>
          <w:iCs/>
        </w:rPr>
        <w:t xml:space="preserve"> u posljednje dvije godine,</w:t>
      </w:r>
      <w:r w:rsidRPr="007A0893">
        <w:rPr>
          <w:iCs/>
        </w:rPr>
        <w:t xml:space="preserve"> i to fizički za 4 krivična djela ili 1,9 %, odnosno sa 211 u 2</w:t>
      </w:r>
      <w:r w:rsidR="008051AA">
        <w:rPr>
          <w:iCs/>
        </w:rPr>
        <w:t>015.</w:t>
      </w:r>
      <w:r w:rsidR="00E47C9E">
        <w:rPr>
          <w:iCs/>
        </w:rPr>
        <w:t xml:space="preserve"> </w:t>
      </w:r>
      <w:r w:rsidR="008051AA">
        <w:rPr>
          <w:iCs/>
        </w:rPr>
        <w:t>g</w:t>
      </w:r>
      <w:r w:rsidR="00E47C9E">
        <w:rPr>
          <w:iCs/>
        </w:rPr>
        <w:t>odini</w:t>
      </w:r>
      <w:r w:rsidR="008051AA">
        <w:rPr>
          <w:iCs/>
        </w:rPr>
        <w:t xml:space="preserve"> na 207 u 2016.</w:t>
      </w:r>
      <w:r w:rsidR="00E47C9E">
        <w:rPr>
          <w:iCs/>
        </w:rPr>
        <w:t xml:space="preserve"> </w:t>
      </w:r>
      <w:r w:rsidR="008051AA">
        <w:rPr>
          <w:iCs/>
        </w:rPr>
        <w:t>godini.</w:t>
      </w:r>
    </w:p>
    <w:p w:rsidR="008051AA" w:rsidRDefault="00593AFB" w:rsidP="00750FA5">
      <w:pPr>
        <w:rPr>
          <w:iCs/>
        </w:rPr>
      </w:pPr>
      <w:r w:rsidRPr="007A0893">
        <w:rPr>
          <w:iCs/>
        </w:rPr>
        <w:t xml:space="preserve">Od ukupnog broja evidentiranih </w:t>
      </w:r>
      <w:r w:rsidR="008051AA">
        <w:rPr>
          <w:iCs/>
        </w:rPr>
        <w:t>krivičnih djela</w:t>
      </w:r>
      <w:r w:rsidRPr="007A0893">
        <w:rPr>
          <w:iCs/>
        </w:rPr>
        <w:t xml:space="preserve"> po poznatom izvršiocu</w:t>
      </w:r>
      <w:r w:rsidR="008051AA">
        <w:rPr>
          <w:iCs/>
        </w:rPr>
        <w:t xml:space="preserve"> u toku 2016. godine</w:t>
      </w:r>
      <w:r w:rsidRPr="007A0893">
        <w:rPr>
          <w:iCs/>
        </w:rPr>
        <w:t xml:space="preserve"> počinjeno je 89</w:t>
      </w:r>
      <w:r w:rsidR="008051AA">
        <w:rPr>
          <w:iCs/>
        </w:rPr>
        <w:t xml:space="preserve">, a </w:t>
      </w:r>
      <w:r w:rsidRPr="007A0893">
        <w:rPr>
          <w:iCs/>
        </w:rPr>
        <w:t>po nepoznatom izvršiocu</w:t>
      </w:r>
      <w:r w:rsidR="008051AA">
        <w:rPr>
          <w:iCs/>
        </w:rPr>
        <w:t xml:space="preserve"> 118 krivičnih djela</w:t>
      </w:r>
      <w:r w:rsidRPr="007A0893">
        <w:rPr>
          <w:iCs/>
        </w:rPr>
        <w:t xml:space="preserve">. Operativnim radom policijski službenici OKP-a i PS Kalesija su otkrili izvršioce za 59 </w:t>
      </w:r>
      <w:r w:rsidR="008051AA">
        <w:rPr>
          <w:iCs/>
        </w:rPr>
        <w:t>slučajeva,</w:t>
      </w:r>
      <w:r w:rsidRPr="007A0893">
        <w:rPr>
          <w:iCs/>
        </w:rPr>
        <w:t xml:space="preserve"> iz čega se zaključuje da je procent rasvijetljenosti </w:t>
      </w:r>
      <w:r w:rsidR="008051AA">
        <w:rPr>
          <w:iCs/>
        </w:rPr>
        <w:t>krivičnih djela</w:t>
      </w:r>
      <w:r w:rsidRPr="007A0893">
        <w:rPr>
          <w:iCs/>
        </w:rPr>
        <w:t xml:space="preserve"> izvršenih po</w:t>
      </w:r>
      <w:r>
        <w:rPr>
          <w:iCs/>
        </w:rPr>
        <w:t xml:space="preserve"> neidentifikovanom izvršiocu </w:t>
      </w:r>
      <w:r w:rsidR="008051AA">
        <w:rPr>
          <w:iCs/>
        </w:rPr>
        <w:t xml:space="preserve">bio </w:t>
      </w:r>
      <w:r>
        <w:rPr>
          <w:iCs/>
        </w:rPr>
        <w:t xml:space="preserve">50 %. </w:t>
      </w:r>
    </w:p>
    <w:p w:rsidR="008051AA" w:rsidRPr="007A0893" w:rsidRDefault="00593AFB" w:rsidP="00750FA5">
      <w:pPr>
        <w:rPr>
          <w:iCs/>
        </w:rPr>
      </w:pPr>
      <w:r w:rsidRPr="007A0893">
        <w:rPr>
          <w:iCs/>
        </w:rPr>
        <w:t xml:space="preserve">U istom periodu 2015.godine evidentirano je 211 </w:t>
      </w:r>
      <w:r w:rsidR="008051AA">
        <w:rPr>
          <w:iCs/>
        </w:rPr>
        <w:t>krivičnih djela,</w:t>
      </w:r>
      <w:r w:rsidRPr="007A0893">
        <w:rPr>
          <w:iCs/>
        </w:rPr>
        <w:t xml:space="preserve"> od čega je 106 po poznatom</w:t>
      </w:r>
      <w:r w:rsidR="008051AA">
        <w:rPr>
          <w:iCs/>
        </w:rPr>
        <w:t>,</w:t>
      </w:r>
      <w:r w:rsidRPr="007A0893">
        <w:rPr>
          <w:iCs/>
        </w:rPr>
        <w:t xml:space="preserve"> a 105 po nepoznatom</w:t>
      </w:r>
      <w:r w:rsidR="008051AA">
        <w:rPr>
          <w:iCs/>
        </w:rPr>
        <w:t xml:space="preserve"> izvršiocu</w:t>
      </w:r>
      <w:r w:rsidRPr="007A0893">
        <w:rPr>
          <w:iCs/>
        </w:rPr>
        <w:t xml:space="preserve">. Operativnim radom policijski službenici su otkrili izvršioce za 48 </w:t>
      </w:r>
      <w:r w:rsidR="008051AA">
        <w:rPr>
          <w:iCs/>
        </w:rPr>
        <w:t>krivičnih djela,</w:t>
      </w:r>
      <w:r w:rsidRPr="007A0893">
        <w:rPr>
          <w:iCs/>
        </w:rPr>
        <w:t xml:space="preserve"> iz čega se zaključuje da je pro</w:t>
      </w:r>
      <w:r>
        <w:rPr>
          <w:iCs/>
        </w:rPr>
        <w:t xml:space="preserve">cent rasvijetljenosti </w:t>
      </w:r>
      <w:r w:rsidR="008051AA">
        <w:rPr>
          <w:iCs/>
        </w:rPr>
        <w:t xml:space="preserve">bio </w:t>
      </w:r>
      <w:r>
        <w:rPr>
          <w:iCs/>
        </w:rPr>
        <w:t>4</w:t>
      </w:r>
      <w:r w:rsidR="00E47C9E">
        <w:rPr>
          <w:iCs/>
        </w:rPr>
        <w:t>6</w:t>
      </w:r>
      <w:r>
        <w:rPr>
          <w:iCs/>
        </w:rPr>
        <w:t xml:space="preserve"> %. </w:t>
      </w:r>
    </w:p>
    <w:p w:rsidR="008051AA" w:rsidRPr="007A0893" w:rsidRDefault="00593AFB" w:rsidP="00750FA5">
      <w:pPr>
        <w:rPr>
          <w:iCs/>
        </w:rPr>
      </w:pPr>
      <w:r w:rsidRPr="007A0893">
        <w:rPr>
          <w:iCs/>
        </w:rPr>
        <w:t>Iz gore navedenog zaključuje se da je u posmatran</w:t>
      </w:r>
      <w:r w:rsidR="008051AA">
        <w:rPr>
          <w:iCs/>
        </w:rPr>
        <w:t>o</w:t>
      </w:r>
      <w:r w:rsidRPr="007A0893">
        <w:rPr>
          <w:iCs/>
        </w:rPr>
        <w:t>m period</w:t>
      </w:r>
      <w:r w:rsidR="008051AA">
        <w:rPr>
          <w:iCs/>
        </w:rPr>
        <w:t xml:space="preserve">u </w:t>
      </w:r>
      <w:r w:rsidRPr="007A0893">
        <w:rPr>
          <w:iCs/>
        </w:rPr>
        <w:t xml:space="preserve">došlo do smanjenja broja </w:t>
      </w:r>
      <w:r w:rsidR="008051AA">
        <w:rPr>
          <w:iCs/>
        </w:rPr>
        <w:t>krivičnih djela</w:t>
      </w:r>
      <w:r w:rsidR="008051AA" w:rsidRPr="007A0893">
        <w:rPr>
          <w:iCs/>
        </w:rPr>
        <w:t xml:space="preserve"> </w:t>
      </w:r>
      <w:r w:rsidRPr="007A0893">
        <w:rPr>
          <w:iCs/>
        </w:rPr>
        <w:t xml:space="preserve">izvršenih po poznatom izvršiocu i to fizički za 17 ili 16%, dok je broj </w:t>
      </w:r>
      <w:r w:rsidR="008051AA">
        <w:rPr>
          <w:iCs/>
        </w:rPr>
        <w:t>krivičnih djela</w:t>
      </w:r>
      <w:r w:rsidR="008051AA" w:rsidRPr="007A0893">
        <w:rPr>
          <w:iCs/>
        </w:rPr>
        <w:t xml:space="preserve"> </w:t>
      </w:r>
      <w:r w:rsidRPr="007A0893">
        <w:rPr>
          <w:iCs/>
        </w:rPr>
        <w:t>izvršnih po nepoznatom izvršiocu pove</w:t>
      </w:r>
      <w:r>
        <w:rPr>
          <w:iCs/>
        </w:rPr>
        <w:t xml:space="preserve">ćan fizički za 13 ili 12%. </w:t>
      </w:r>
    </w:p>
    <w:p w:rsidR="00593AFB" w:rsidRPr="007A0893" w:rsidRDefault="00E72585" w:rsidP="00750FA5">
      <w:r w:rsidRPr="007A0893">
        <w:t>U 2016.</w:t>
      </w:r>
      <w:r>
        <w:t xml:space="preserve"> </w:t>
      </w:r>
      <w:r w:rsidRPr="007A0893">
        <w:t xml:space="preserve">godini, od strane PU Kalesija OKP-a PU i PS Kalesija nadležnim tužilaštvima je podneseno 190 izvještaja o učinjenju 207 </w:t>
      </w:r>
      <w:r>
        <w:rPr>
          <w:iCs/>
        </w:rPr>
        <w:t>krivičnih djela</w:t>
      </w:r>
      <w:r w:rsidRPr="007A0893">
        <w:t xml:space="preserve"> za koja je prijavljeno 165 lice i  188 učinilac. Broj podnesenih izvještaja u odnosu na isti period pro</w:t>
      </w:r>
      <w:r w:rsidR="00E47C9E">
        <w:t>šle godine veći je za 5 ili 3</w:t>
      </w:r>
      <w:r w:rsidRPr="007A0893">
        <w:t xml:space="preserve">%, dok je broj prijavljenih učinilaca veći za 7 ili </w:t>
      </w:r>
      <w:r w:rsidR="00E47C9E">
        <w:t>4</w:t>
      </w:r>
      <w:r w:rsidRPr="007A0893">
        <w:t>%. Svi izvještaji su podneseni Kantonalnom tužilaštvu Tuzla.</w:t>
      </w:r>
      <w:r>
        <w:t xml:space="preserve"> </w:t>
      </w:r>
    </w:p>
    <w:p w:rsidR="00593AFB" w:rsidRPr="007A0893" w:rsidRDefault="00593AFB" w:rsidP="00750FA5">
      <w:r w:rsidRPr="007A0893">
        <w:t xml:space="preserve">Ohrabrujuće činjenice su: </w:t>
      </w:r>
    </w:p>
    <w:p w:rsidR="00593AFB" w:rsidRPr="007A0893" w:rsidRDefault="00593AFB" w:rsidP="00750FA5">
      <w:pPr>
        <w:pStyle w:val="ListParagraph"/>
        <w:numPr>
          <w:ilvl w:val="0"/>
          <w:numId w:val="12"/>
        </w:numPr>
      </w:pPr>
      <w:r w:rsidRPr="007A0893">
        <w:t xml:space="preserve">Da na području općine Kalesija u 2016.godini nije bilo nijedno </w:t>
      </w:r>
      <w:r w:rsidR="008051AA" w:rsidRPr="00B60137">
        <w:rPr>
          <w:iCs/>
        </w:rPr>
        <w:t>krivično djelo u</w:t>
      </w:r>
      <w:r w:rsidRPr="007A0893">
        <w:t xml:space="preserve">bistva u pokušaju koje se javlja kao najteži oblik krivičnog djela. </w:t>
      </w:r>
    </w:p>
    <w:p w:rsidR="00593AFB" w:rsidRPr="00C10580" w:rsidRDefault="00593AFB" w:rsidP="00750FA5">
      <w:pPr>
        <w:pStyle w:val="ListParagraph"/>
        <w:numPr>
          <w:ilvl w:val="0"/>
          <w:numId w:val="12"/>
        </w:numPr>
      </w:pPr>
      <w:r w:rsidRPr="007A0893">
        <w:t xml:space="preserve">Da je smanjen ukupan broj </w:t>
      </w:r>
      <w:r w:rsidR="008051AA">
        <w:rPr>
          <w:iCs/>
        </w:rPr>
        <w:t>krivičnih djela</w:t>
      </w:r>
      <w:r w:rsidR="008051AA" w:rsidRPr="007A0893">
        <w:t xml:space="preserve"> </w:t>
      </w:r>
      <w:r w:rsidRPr="007A0893">
        <w:t xml:space="preserve">za 4 krivična djela odnosno za </w:t>
      </w:r>
      <w:r w:rsidR="00E47C9E">
        <w:t>2</w:t>
      </w:r>
      <w:r w:rsidRPr="007A0893">
        <w:t>%</w:t>
      </w:r>
      <w:r w:rsidR="008051AA">
        <w:t xml:space="preserve"> u posljednje dvije godine.</w:t>
      </w:r>
    </w:p>
    <w:p w:rsidR="00593AFB" w:rsidRPr="00C10580" w:rsidRDefault="00E47C9E" w:rsidP="00750FA5">
      <w:pPr>
        <w:pStyle w:val="ListParagraph"/>
        <w:numPr>
          <w:ilvl w:val="0"/>
          <w:numId w:val="12"/>
        </w:numPr>
      </w:pPr>
      <w:r>
        <w:t>Da nije bilo</w:t>
      </w:r>
      <w:r w:rsidR="00593AFB" w:rsidRPr="007A0893">
        <w:t xml:space="preserve"> </w:t>
      </w:r>
      <w:r w:rsidR="008051AA">
        <w:rPr>
          <w:iCs/>
        </w:rPr>
        <w:t>krivičnih djela r</w:t>
      </w:r>
      <w:r w:rsidR="00593AFB" w:rsidRPr="007A0893">
        <w:t>azbojništva</w:t>
      </w:r>
      <w:r w:rsidR="008051AA">
        <w:t>,</w:t>
      </w:r>
      <w:r w:rsidR="00593AFB" w:rsidRPr="007A0893">
        <w:t xml:space="preserve"> niti </w:t>
      </w:r>
      <w:r w:rsidR="008051AA">
        <w:t>r</w:t>
      </w:r>
      <w:r w:rsidR="00593AFB" w:rsidRPr="007A0893">
        <w:t>azbojničke krađe (krađa uz upotrebu sile i prijetnje prema nekoj osobi, da će napa</w:t>
      </w:r>
      <w:r w:rsidR="008051AA">
        <w:t>sti na njezin život ili tijelo).</w:t>
      </w:r>
    </w:p>
    <w:p w:rsidR="00593AFB" w:rsidRPr="00C10580" w:rsidRDefault="00593AFB" w:rsidP="00750FA5">
      <w:pPr>
        <w:pStyle w:val="ListParagraph"/>
        <w:numPr>
          <w:ilvl w:val="0"/>
          <w:numId w:val="12"/>
        </w:numPr>
      </w:pPr>
      <w:r w:rsidRPr="007A0893">
        <w:t xml:space="preserve">Da je smanjen broj </w:t>
      </w:r>
      <w:r w:rsidR="008051AA">
        <w:rPr>
          <w:iCs/>
        </w:rPr>
        <w:t>krivičnih djela</w:t>
      </w:r>
      <w:r w:rsidR="008051AA" w:rsidRPr="007A0893">
        <w:t xml:space="preserve"> </w:t>
      </w:r>
      <w:r w:rsidR="008051AA">
        <w:t>u</w:t>
      </w:r>
      <w:r w:rsidRPr="007A0893">
        <w:t xml:space="preserve">grožavanja sigurnosti građana zbog omamljenosti sa 9 </w:t>
      </w:r>
      <w:r w:rsidR="008051AA">
        <w:t xml:space="preserve">u </w:t>
      </w:r>
      <w:r w:rsidRPr="007A0893">
        <w:t>2015.</w:t>
      </w:r>
      <w:r w:rsidR="008051AA">
        <w:t xml:space="preserve"> </w:t>
      </w:r>
      <w:r w:rsidRPr="007A0893">
        <w:t>godin</w:t>
      </w:r>
      <w:r w:rsidR="008051AA">
        <w:t>i</w:t>
      </w:r>
      <w:r w:rsidRPr="007A0893">
        <w:t xml:space="preserve"> na 3 </w:t>
      </w:r>
      <w:r w:rsidR="008051AA">
        <w:t>u 2016.</w:t>
      </w:r>
      <w:r w:rsidR="00E47C9E">
        <w:t xml:space="preserve"> </w:t>
      </w:r>
      <w:r w:rsidR="008051AA">
        <w:t>godini.</w:t>
      </w:r>
    </w:p>
    <w:p w:rsidR="00593AFB" w:rsidRPr="00C10580" w:rsidRDefault="00593AFB" w:rsidP="00750FA5">
      <w:pPr>
        <w:pStyle w:val="ListParagraph"/>
        <w:numPr>
          <w:ilvl w:val="0"/>
          <w:numId w:val="12"/>
        </w:numPr>
      </w:pPr>
      <w:r w:rsidRPr="007A0893">
        <w:lastRenderedPageBreak/>
        <w:t xml:space="preserve">Da nije bilo </w:t>
      </w:r>
      <w:r w:rsidR="008051AA">
        <w:rPr>
          <w:iCs/>
        </w:rPr>
        <w:t>krivičnih djela</w:t>
      </w:r>
      <w:r w:rsidR="008051AA" w:rsidRPr="007A0893">
        <w:t xml:space="preserve"> </w:t>
      </w:r>
      <w:r w:rsidR="008051AA">
        <w:t>z</w:t>
      </w:r>
      <w:r w:rsidRPr="007A0893">
        <w:t>lostavljanja dje</w:t>
      </w:r>
      <w:r w:rsidR="008051AA">
        <w:t>ce ili maloljetnika.</w:t>
      </w:r>
    </w:p>
    <w:p w:rsidR="00593AFB" w:rsidRPr="00B34D85" w:rsidRDefault="00593AFB" w:rsidP="00750FA5">
      <w:pPr>
        <w:pStyle w:val="ListParagraph"/>
        <w:numPr>
          <w:ilvl w:val="0"/>
          <w:numId w:val="12"/>
        </w:numPr>
      </w:pPr>
      <w:r w:rsidRPr="007A0893">
        <w:t xml:space="preserve">Da je smanjen broj </w:t>
      </w:r>
      <w:r w:rsidR="008051AA">
        <w:rPr>
          <w:iCs/>
        </w:rPr>
        <w:t>krivičnih djela</w:t>
      </w:r>
      <w:r w:rsidR="008051AA" w:rsidRPr="007A0893">
        <w:t xml:space="preserve"> </w:t>
      </w:r>
      <w:r w:rsidR="008051AA">
        <w:t>n</w:t>
      </w:r>
      <w:r w:rsidRPr="007A0893">
        <w:t>asilničkog ponašanja sa 6 u 2015</w:t>
      </w:r>
      <w:r w:rsidR="008051AA">
        <w:t>. godini</w:t>
      </w:r>
      <w:r w:rsidRPr="007A0893">
        <w:t xml:space="preserve"> na 2 u 2016.</w:t>
      </w:r>
      <w:r w:rsidR="008051AA">
        <w:t xml:space="preserve"> godini.</w:t>
      </w:r>
    </w:p>
    <w:p w:rsidR="00593AFB" w:rsidRPr="007A0893" w:rsidRDefault="00593AFB" w:rsidP="00750FA5">
      <w:r w:rsidRPr="007A0893">
        <w:t>Radi unapređenja rada organizacionih jedinica u  PU/PS Kalesija u narednom periodu neophodn</w:t>
      </w:r>
      <w:r w:rsidR="00E72585">
        <w:t>o je iste adekvatno materijalno-</w:t>
      </w:r>
      <w:r w:rsidRPr="007A0893">
        <w:t>tehnički opremiti</w:t>
      </w:r>
      <w:r w:rsidR="00E72585">
        <w:t>,</w:t>
      </w:r>
      <w:r w:rsidRPr="007A0893">
        <w:t xml:space="preserve"> i to </w:t>
      </w:r>
      <w:r w:rsidR="00E72585">
        <w:t>prvenstveno</w:t>
      </w:r>
      <w:r w:rsidRPr="007A0893">
        <w:t xml:space="preserve"> motornim vozilima, inventarom,  računarima i pratećom opremom. Pored navedenog</w:t>
      </w:r>
      <w:r w:rsidR="00E72585">
        <w:t>,</w:t>
      </w:r>
      <w:r w:rsidRPr="007A0893">
        <w:t xml:space="preserve"> potrebno je PS Kalesija popuniti sa izvršiocima kako je to </w:t>
      </w:r>
      <w:r w:rsidR="00E72585" w:rsidRPr="007A0893">
        <w:t xml:space="preserve">predviđeno </w:t>
      </w:r>
      <w:r w:rsidRPr="007A0893">
        <w:t>Praviln</w:t>
      </w:r>
      <w:r w:rsidR="00E72585">
        <w:t>ikom o unutrašnjoj organizaciji</w:t>
      </w:r>
      <w:r w:rsidRPr="007A0893">
        <w:t>.</w:t>
      </w:r>
    </w:p>
    <w:p w:rsidR="00E47C9E" w:rsidRDefault="00593AFB" w:rsidP="00750FA5">
      <w:pPr>
        <w:rPr>
          <w:iCs/>
        </w:rPr>
      </w:pPr>
      <w:r w:rsidRPr="00E47C9E">
        <w:rPr>
          <w:lang w:val="hr-HR"/>
        </w:rPr>
        <w:t>Sta</w:t>
      </w:r>
      <w:r w:rsidRPr="00E47C9E">
        <w:t>nje</w:t>
      </w:r>
      <w:r w:rsidRPr="00E47C9E">
        <w:rPr>
          <w:lang w:val="sr-Cyrl-CS"/>
        </w:rPr>
        <w:t xml:space="preserve"> </w:t>
      </w:r>
      <w:r w:rsidRPr="00E47C9E">
        <w:t>javnog</w:t>
      </w:r>
      <w:r w:rsidRPr="00E47C9E">
        <w:rPr>
          <w:lang w:val="sr-Cyrl-CS"/>
        </w:rPr>
        <w:t xml:space="preserve"> </w:t>
      </w:r>
      <w:r w:rsidRPr="00E47C9E">
        <w:t>reda</w:t>
      </w:r>
      <w:r w:rsidRPr="00E47C9E">
        <w:rPr>
          <w:lang w:val="sr-Cyrl-CS"/>
        </w:rPr>
        <w:t xml:space="preserve"> </w:t>
      </w:r>
      <w:r w:rsidRPr="00E47C9E">
        <w:t>i</w:t>
      </w:r>
      <w:r w:rsidRPr="00E47C9E">
        <w:rPr>
          <w:lang w:val="sr-Cyrl-CS"/>
        </w:rPr>
        <w:t xml:space="preserve"> </w:t>
      </w:r>
      <w:r w:rsidRPr="00E47C9E">
        <w:t>mira</w:t>
      </w:r>
      <w:r w:rsidRPr="00E47C9E">
        <w:rPr>
          <w:lang w:val="sr-Cyrl-CS"/>
        </w:rPr>
        <w:t xml:space="preserve"> </w:t>
      </w:r>
      <w:r w:rsidRPr="00E47C9E">
        <w:t>na</w:t>
      </w:r>
      <w:r w:rsidRPr="00E47C9E">
        <w:rPr>
          <w:lang w:val="sr-Cyrl-CS"/>
        </w:rPr>
        <w:t xml:space="preserve"> </w:t>
      </w:r>
      <w:r w:rsidRPr="00E47C9E">
        <w:rPr>
          <w:lang w:val="hr-HR"/>
        </w:rPr>
        <w:t xml:space="preserve">staničnom </w:t>
      </w:r>
      <w:r w:rsidRPr="00E47C9E">
        <w:t>podru</w:t>
      </w:r>
      <w:r w:rsidRPr="00E47C9E">
        <w:rPr>
          <w:lang w:val="sr-Cyrl-CS"/>
        </w:rPr>
        <w:t>č</w:t>
      </w:r>
      <w:r w:rsidRPr="00E47C9E">
        <w:t>ju</w:t>
      </w:r>
      <w:r w:rsidRPr="00E47C9E">
        <w:rPr>
          <w:lang w:val="sr-Cyrl-CS"/>
        </w:rPr>
        <w:t xml:space="preserve"> </w:t>
      </w:r>
      <w:r w:rsidRPr="00E47C9E">
        <w:t>PS</w:t>
      </w:r>
      <w:r w:rsidRPr="00E47C9E">
        <w:rPr>
          <w:lang w:val="sr-Cyrl-CS"/>
        </w:rPr>
        <w:t xml:space="preserve"> </w:t>
      </w:r>
      <w:r w:rsidRPr="00E47C9E">
        <w:t>Kalesija</w:t>
      </w:r>
      <w:r w:rsidRPr="00E47C9E">
        <w:rPr>
          <w:lang w:val="sr-Cyrl-CS"/>
        </w:rPr>
        <w:t xml:space="preserve"> </w:t>
      </w:r>
      <w:r w:rsidRPr="00E47C9E">
        <w:t>u</w:t>
      </w:r>
      <w:r w:rsidRPr="00E47C9E">
        <w:rPr>
          <w:lang w:val="sr-Cyrl-CS"/>
        </w:rPr>
        <w:t xml:space="preserve"> </w:t>
      </w:r>
      <w:r w:rsidRPr="00E47C9E">
        <w:t>izvje</w:t>
      </w:r>
      <w:r w:rsidRPr="00E47C9E">
        <w:rPr>
          <w:lang w:val="sr-Cyrl-CS"/>
        </w:rPr>
        <w:t>š</w:t>
      </w:r>
      <w:r w:rsidRPr="00E47C9E">
        <w:t>tajnom</w:t>
      </w:r>
      <w:r w:rsidRPr="00E47C9E">
        <w:rPr>
          <w:lang w:val="sr-Cyrl-CS"/>
        </w:rPr>
        <w:t xml:space="preserve"> </w:t>
      </w:r>
      <w:r w:rsidRPr="00E47C9E">
        <w:t>periodu</w:t>
      </w:r>
      <w:r w:rsidRPr="00E47C9E">
        <w:rPr>
          <w:lang w:val="sr-Cyrl-CS"/>
        </w:rPr>
        <w:t xml:space="preserve"> </w:t>
      </w:r>
      <w:r w:rsidRPr="00E47C9E">
        <w:t>posmatrano</w:t>
      </w:r>
      <w:r w:rsidRPr="00E47C9E">
        <w:rPr>
          <w:lang w:val="sr-Cyrl-CS"/>
        </w:rPr>
        <w:t xml:space="preserve"> </w:t>
      </w:r>
      <w:r w:rsidRPr="00E47C9E">
        <w:t>po</w:t>
      </w:r>
      <w:r w:rsidRPr="00E47C9E">
        <w:rPr>
          <w:lang w:val="sr-Cyrl-CS"/>
        </w:rPr>
        <w:t xml:space="preserve"> </w:t>
      </w:r>
      <w:r w:rsidRPr="00E47C9E">
        <w:t>svim</w:t>
      </w:r>
      <w:r w:rsidRPr="00E47C9E">
        <w:rPr>
          <w:lang w:val="sr-Cyrl-CS"/>
        </w:rPr>
        <w:t xml:space="preserve"> </w:t>
      </w:r>
      <w:r w:rsidRPr="00E47C9E">
        <w:t>segmentima</w:t>
      </w:r>
      <w:r w:rsidRPr="00E47C9E">
        <w:rPr>
          <w:lang w:val="sr-Cyrl-CS"/>
        </w:rPr>
        <w:t xml:space="preserve"> </w:t>
      </w:r>
      <w:r w:rsidRPr="00E47C9E">
        <w:t>je</w:t>
      </w:r>
      <w:r w:rsidRPr="00E47C9E">
        <w:rPr>
          <w:lang w:val="sr-Cyrl-CS"/>
        </w:rPr>
        <w:t xml:space="preserve"> </w:t>
      </w:r>
      <w:r w:rsidRPr="00E47C9E">
        <w:t>na</w:t>
      </w:r>
      <w:r w:rsidRPr="00E47C9E">
        <w:rPr>
          <w:lang w:val="sr-Cyrl-CS"/>
        </w:rPr>
        <w:t xml:space="preserve"> </w:t>
      </w:r>
      <w:r w:rsidRPr="00E47C9E">
        <w:t>zadovoljavaju</w:t>
      </w:r>
      <w:r w:rsidRPr="00E47C9E">
        <w:rPr>
          <w:lang w:val="sr-Cyrl-CS"/>
        </w:rPr>
        <w:t>ć</w:t>
      </w:r>
      <w:r w:rsidRPr="00E47C9E">
        <w:t>em</w:t>
      </w:r>
      <w:r w:rsidRPr="00E47C9E">
        <w:rPr>
          <w:lang w:val="sr-Cyrl-CS"/>
        </w:rPr>
        <w:t xml:space="preserve"> </w:t>
      </w:r>
      <w:r w:rsidRPr="00E47C9E">
        <w:t>nivou.</w:t>
      </w:r>
      <w:r w:rsidRPr="00E47C9E">
        <w:rPr>
          <w:lang w:val="sr-Cyrl-CS"/>
        </w:rPr>
        <w:t xml:space="preserve"> </w:t>
      </w:r>
    </w:p>
    <w:p w:rsidR="00465372" w:rsidRPr="009E6E36" w:rsidRDefault="00465372" w:rsidP="00AD59CB">
      <w:pPr>
        <w:pStyle w:val="Heading4"/>
        <w:rPr>
          <w:lang w:val="hr-HR"/>
        </w:rPr>
      </w:pPr>
      <w:r w:rsidRPr="00465372">
        <w:rPr>
          <w:lang w:val="hr-HR"/>
        </w:rPr>
        <w:t xml:space="preserve"> </w:t>
      </w:r>
      <w:bookmarkStart w:id="70" w:name="_Toc500140022"/>
      <w:r w:rsidRPr="009E6E36">
        <w:rPr>
          <w:lang w:val="hr-HR"/>
        </w:rPr>
        <w:t>Kultura i sport</w:t>
      </w:r>
      <w:bookmarkEnd w:id="70"/>
    </w:p>
    <w:p w:rsidR="00622450" w:rsidRPr="009E6E36" w:rsidRDefault="00622450" w:rsidP="003663CA">
      <w:pPr>
        <w:rPr>
          <w:rFonts w:eastAsia="Times New Roman"/>
          <w:color w:val="000000"/>
          <w:szCs w:val="27"/>
          <w:lang w:val="en-US"/>
        </w:rPr>
      </w:pPr>
      <w:r w:rsidRPr="009E6E36">
        <w:rPr>
          <w:rFonts w:eastAsia="Times New Roman"/>
          <w:color w:val="000000"/>
          <w:szCs w:val="27"/>
          <w:lang w:val="en-US"/>
        </w:rPr>
        <w:t>Javna ustanova aktivna u oblasti kulture na području općine je JU Bosanski kulturni centar „Alija Izetbegović“ Kalesija, u sklopu koje djeluje i biblioteka. Biblioteka je JU BKC „Alija Izetbegović“ pripojena u janu</w:t>
      </w:r>
      <w:r w:rsidR="009E6E36">
        <w:rPr>
          <w:rFonts w:eastAsia="Times New Roman"/>
          <w:color w:val="000000"/>
          <w:szCs w:val="27"/>
          <w:lang w:val="en-US"/>
        </w:rPr>
        <w:t xml:space="preserve">aru 2017. godine, a do tada je </w:t>
      </w:r>
      <w:r w:rsidRPr="009E6E36">
        <w:rPr>
          <w:rFonts w:eastAsia="Times New Roman"/>
          <w:color w:val="000000"/>
          <w:szCs w:val="27"/>
          <w:lang w:val="en-US"/>
        </w:rPr>
        <w:t>djelovala kao samostalna JU „Gradska biblioteka“.</w:t>
      </w:r>
      <w:r w:rsidR="009E6E36">
        <w:rPr>
          <w:rFonts w:eastAsia="Times New Roman"/>
          <w:color w:val="000000"/>
          <w:szCs w:val="27"/>
          <w:lang w:val="en-US"/>
        </w:rPr>
        <w:t xml:space="preserve"> </w:t>
      </w:r>
      <w:r w:rsidRPr="009E6E36">
        <w:rPr>
          <w:rFonts w:eastAsia="Times New Roman"/>
          <w:color w:val="000000"/>
          <w:szCs w:val="27"/>
          <w:lang w:val="en-US"/>
        </w:rPr>
        <w:t>Od 2000. godine, kada je osnovana, „Gradska biblioteka“ je ostvarila značajan napredak</w:t>
      </w:r>
      <w:r w:rsidR="00167372" w:rsidRPr="009E6E36">
        <w:rPr>
          <w:rFonts w:eastAsia="Times New Roman"/>
          <w:color w:val="000000"/>
          <w:szCs w:val="27"/>
          <w:lang w:val="en-US"/>
        </w:rPr>
        <w:t xml:space="preserve"> na obogaćivanju knjižnog fonda</w:t>
      </w:r>
      <w:r w:rsidRPr="009E6E36">
        <w:rPr>
          <w:rFonts w:eastAsia="Times New Roman"/>
          <w:color w:val="000000"/>
          <w:szCs w:val="27"/>
          <w:lang w:val="en-US"/>
        </w:rPr>
        <w:t>, realizaciji kulturnih sadržaja i popularizaciji knjige kod građanstva. Kulturni sadržaji koji su već postali tradicionalni i prepoznatljivi i izvan Kalesije su:</w:t>
      </w:r>
      <w:r w:rsidR="009E6E36">
        <w:rPr>
          <w:rFonts w:eastAsia="Times New Roman"/>
          <w:color w:val="000000"/>
          <w:szCs w:val="27"/>
          <w:lang w:val="en-US"/>
        </w:rPr>
        <w:t xml:space="preserve"> </w:t>
      </w:r>
      <w:r w:rsidRPr="009E6E36">
        <w:rPr>
          <w:rFonts w:eastAsia="Times New Roman"/>
          <w:color w:val="000000"/>
          <w:szCs w:val="27"/>
          <w:lang w:val="en-US"/>
        </w:rPr>
        <w:t>Kulturna manifestacije „Ikre“</w:t>
      </w:r>
      <w:r w:rsidR="009E6E36">
        <w:rPr>
          <w:rFonts w:eastAsia="Times New Roman"/>
          <w:color w:val="000000"/>
          <w:szCs w:val="27"/>
          <w:lang w:val="en-US"/>
        </w:rPr>
        <w:t xml:space="preserve"> (obilježavanja Mjeseca knjige); </w:t>
      </w:r>
      <w:r w:rsidRPr="009E6E36">
        <w:rPr>
          <w:rFonts w:eastAsia="Times New Roman"/>
          <w:color w:val="000000"/>
          <w:szCs w:val="27"/>
          <w:lang w:val="en-US"/>
        </w:rPr>
        <w:t>Dani Povelje</w:t>
      </w:r>
      <w:r w:rsidR="009E6E36">
        <w:rPr>
          <w:rFonts w:eastAsia="Times New Roman"/>
          <w:color w:val="000000"/>
          <w:szCs w:val="27"/>
          <w:lang w:val="en-US"/>
        </w:rPr>
        <w:t xml:space="preserve">; </w:t>
      </w:r>
      <w:r w:rsidRPr="009E6E36">
        <w:rPr>
          <w:rFonts w:eastAsia="Times New Roman"/>
          <w:color w:val="000000"/>
          <w:szCs w:val="27"/>
          <w:lang w:val="en-US"/>
        </w:rPr>
        <w:t>Kalesijsko ljeto</w:t>
      </w:r>
      <w:r w:rsidR="009E6E36">
        <w:rPr>
          <w:rFonts w:eastAsia="Times New Roman"/>
          <w:color w:val="000000"/>
          <w:szCs w:val="27"/>
          <w:lang w:val="en-US"/>
        </w:rPr>
        <w:t xml:space="preserve">; </w:t>
      </w:r>
      <w:r w:rsidRPr="009E6E36">
        <w:rPr>
          <w:rFonts w:eastAsia="Times New Roman"/>
          <w:color w:val="000000"/>
          <w:szCs w:val="27"/>
          <w:lang w:val="en-US"/>
        </w:rPr>
        <w:t>Festival izvorne muzike</w:t>
      </w:r>
      <w:r w:rsidR="009E6E36">
        <w:rPr>
          <w:rFonts w:eastAsia="Times New Roman"/>
          <w:color w:val="000000"/>
          <w:szCs w:val="27"/>
          <w:lang w:val="en-US"/>
        </w:rPr>
        <w:t xml:space="preserve">; </w:t>
      </w:r>
      <w:r w:rsidRPr="009E6E36">
        <w:rPr>
          <w:rFonts w:eastAsia="Times New Roman"/>
          <w:color w:val="000000"/>
          <w:szCs w:val="27"/>
          <w:lang w:val="en-US"/>
        </w:rPr>
        <w:t>Likovna kolonija „KLIK“</w:t>
      </w:r>
      <w:r w:rsidR="009E6E36">
        <w:rPr>
          <w:rFonts w:eastAsia="Times New Roman"/>
          <w:color w:val="000000"/>
          <w:szCs w:val="27"/>
          <w:lang w:val="en-US"/>
        </w:rPr>
        <w:t xml:space="preserve">; </w:t>
      </w:r>
      <w:r w:rsidRPr="009E6E36">
        <w:rPr>
          <w:rFonts w:eastAsia="Times New Roman"/>
          <w:color w:val="000000"/>
          <w:szCs w:val="27"/>
          <w:lang w:val="en-US"/>
        </w:rPr>
        <w:t>Ljetni sajam knjige</w:t>
      </w:r>
      <w:r w:rsidR="009E6E36">
        <w:rPr>
          <w:rFonts w:eastAsia="Times New Roman"/>
          <w:color w:val="000000"/>
          <w:szCs w:val="27"/>
          <w:lang w:val="en-US"/>
        </w:rPr>
        <w:t xml:space="preserve">; </w:t>
      </w:r>
      <w:r w:rsidRPr="009E6E36">
        <w:rPr>
          <w:rFonts w:eastAsia="Times New Roman"/>
          <w:color w:val="000000"/>
          <w:szCs w:val="27"/>
          <w:lang w:val="en-US"/>
        </w:rPr>
        <w:t xml:space="preserve">Književni konkurs za izbor najbolje kratke </w:t>
      </w:r>
      <w:r w:rsidR="009E6E36">
        <w:rPr>
          <w:rFonts w:eastAsia="Times New Roman"/>
          <w:color w:val="000000"/>
          <w:szCs w:val="27"/>
          <w:lang w:val="en-US"/>
        </w:rPr>
        <w:t xml:space="preserve">price. </w:t>
      </w:r>
      <w:r w:rsidRPr="009E6E36">
        <w:rPr>
          <w:rFonts w:eastAsia="Times New Roman"/>
          <w:color w:val="000000"/>
          <w:szCs w:val="27"/>
          <w:lang w:val="en-US"/>
        </w:rPr>
        <w:t>Osim ovih manifestacija, svake godine obilježava se Svjetski dan knjige, Svjetski dan maternjeg jezika, održavaju se promocije knjiga, književne večeri, tribine, koncerti, pozorišne predstave, prikazuju filmovi</w:t>
      </w:r>
      <w:r w:rsidR="009E6E36">
        <w:rPr>
          <w:rFonts w:eastAsia="Times New Roman"/>
          <w:color w:val="000000"/>
          <w:szCs w:val="27"/>
          <w:lang w:val="en-US"/>
        </w:rPr>
        <w:t>, itd.</w:t>
      </w:r>
    </w:p>
    <w:p w:rsidR="00622450" w:rsidRPr="009E6E36" w:rsidRDefault="00622450" w:rsidP="003663CA">
      <w:pPr>
        <w:rPr>
          <w:rFonts w:eastAsia="Times New Roman"/>
          <w:color w:val="000000"/>
          <w:szCs w:val="27"/>
          <w:lang w:val="en-US"/>
        </w:rPr>
      </w:pPr>
      <w:r w:rsidRPr="009E6E36">
        <w:rPr>
          <w:rFonts w:eastAsia="Times New Roman"/>
          <w:color w:val="000000"/>
          <w:szCs w:val="27"/>
          <w:lang w:val="en-US"/>
        </w:rPr>
        <w:t>Domovi kulture postoje u Memićima i Raincima Gornjim.</w:t>
      </w:r>
      <w:r w:rsidR="009E6E36">
        <w:rPr>
          <w:rFonts w:eastAsia="Times New Roman"/>
          <w:color w:val="000000"/>
          <w:szCs w:val="27"/>
          <w:lang w:val="en-US"/>
        </w:rPr>
        <w:t xml:space="preserve"> </w:t>
      </w:r>
      <w:r w:rsidRPr="009E6E36">
        <w:rPr>
          <w:rFonts w:eastAsia="Times New Roman"/>
          <w:color w:val="000000"/>
          <w:szCs w:val="27"/>
          <w:lang w:val="en-US"/>
        </w:rPr>
        <w:t>U oblasti kulture djeluju i uduruženja Bošnjačka zajednica kulture „Preporod“ – Općinsko društvo Kalesija, UG „Proaktiva“, UG „Korak“, UG „Cezam“, KUD „Sevdah“ - Seljublje, KUD „Halisije“ - Kalesija, KUD „14 maj“ - Tojšići i KUD „7. april“ – Vukovije, KUD „Biser“ Tojšići, KUD „Rainci Gornji“, UG „Ornament“, UG „UMAK“.</w:t>
      </w:r>
    </w:p>
    <w:p w:rsidR="00622450" w:rsidRPr="009E6E36" w:rsidRDefault="00622450" w:rsidP="003663CA">
      <w:pPr>
        <w:rPr>
          <w:rFonts w:eastAsia="Times New Roman"/>
          <w:color w:val="000000"/>
          <w:szCs w:val="27"/>
          <w:lang w:val="en-US"/>
        </w:rPr>
      </w:pPr>
      <w:r w:rsidRPr="009E6E36">
        <w:rPr>
          <w:rFonts w:eastAsia="Times New Roman"/>
          <w:color w:val="000000"/>
          <w:szCs w:val="27"/>
          <w:lang w:val="en-US"/>
        </w:rPr>
        <w:t>JU BKC „Alija Izetbegović“ finansira se iz Budžeta Općine Kalesija. U 2017. godini za ovu ustanovu predviđena su sredstva u iznosu od 230.500,00 KM. Osim ovih izdvajanja, Općina Kalesija je u 2017. godini planirala i 14.200 KM za rad kulturno-umjetničkih društava i udruženja koja se bave kulturnom djelatnošću. Također, u Budžetu je predviđena i posebna stavka – Izdaci za kulturu u iznosu od 20.000,00 KM.</w:t>
      </w:r>
    </w:p>
    <w:p w:rsidR="00622450" w:rsidRPr="009E6E36" w:rsidRDefault="00622450" w:rsidP="003663CA">
      <w:pPr>
        <w:rPr>
          <w:rFonts w:eastAsia="Times New Roman"/>
          <w:color w:val="000000"/>
          <w:szCs w:val="27"/>
          <w:lang w:val="en-US"/>
        </w:rPr>
      </w:pPr>
      <w:r w:rsidRPr="009E6E36">
        <w:rPr>
          <w:rFonts w:eastAsia="Times New Roman"/>
          <w:color w:val="000000"/>
          <w:szCs w:val="27"/>
          <w:lang w:val="en-US"/>
        </w:rPr>
        <w:t>Od viših nivoa vlasti i fondacija, zahvaljujući aplikacijama za pojedine projekte, ostvari se prihod u prosjeku od 4.000,00 KM godišnje. Od Fondacije za bibliotečku djelatnost godišnje se dobije oko 100 knjiga.</w:t>
      </w:r>
    </w:p>
    <w:p w:rsidR="00167372" w:rsidRPr="009E6E36" w:rsidRDefault="00622450" w:rsidP="003663CA">
      <w:pPr>
        <w:rPr>
          <w:rFonts w:eastAsia="Times New Roman"/>
          <w:color w:val="000000"/>
          <w:szCs w:val="27"/>
          <w:lang w:val="en-US"/>
        </w:rPr>
      </w:pPr>
      <w:r w:rsidRPr="009E6E36">
        <w:rPr>
          <w:rFonts w:eastAsia="Times New Roman"/>
          <w:color w:val="000000"/>
          <w:szCs w:val="27"/>
          <w:lang w:val="en-US"/>
        </w:rPr>
        <w:t>U skladu s međunarodnim standardima o ljudskim pravima, država je dužna osigurati uslove za ostvarivanje prava na kulturni život, što uključuje dostupnost infrastrukture i sredstava za razvoj kulture i uključivanje stanovništva u kulturni život. U skladu s Ustavom FBiH, kantoni su, između ostalog, posebno nadležni za utvrđivanje i provođenje kulturne politike. Međutim, kako na kantonalnom nivou ne postoj</w:t>
      </w:r>
      <w:r w:rsidR="00167372" w:rsidRPr="009E6E36">
        <w:rPr>
          <w:rFonts w:eastAsia="Times New Roman"/>
          <w:color w:val="000000"/>
          <w:szCs w:val="27"/>
          <w:lang w:val="en-US"/>
        </w:rPr>
        <w:t>i zakonska regulativa o kulturi</w:t>
      </w:r>
      <w:r w:rsidRPr="009E6E36">
        <w:rPr>
          <w:rFonts w:eastAsia="Times New Roman"/>
          <w:color w:val="000000"/>
          <w:szCs w:val="27"/>
          <w:lang w:val="en-US"/>
        </w:rPr>
        <w:t>, postoje nejasnoće u oblasti finansiranja kulturnih institucija, a odatle i problemi u komunikaciji tih institucija s nadležnim organima n</w:t>
      </w:r>
      <w:r w:rsidR="00167372" w:rsidRPr="009E6E36">
        <w:rPr>
          <w:rFonts w:eastAsia="Times New Roman"/>
          <w:color w:val="000000"/>
          <w:szCs w:val="27"/>
          <w:lang w:val="en-US"/>
        </w:rPr>
        <w:t>a kantonalnom i općinskom nivou</w:t>
      </w:r>
      <w:r w:rsidRPr="009E6E36">
        <w:rPr>
          <w:rFonts w:eastAsia="Times New Roman"/>
          <w:color w:val="000000"/>
          <w:szCs w:val="27"/>
          <w:lang w:val="en-US"/>
        </w:rPr>
        <w:t>.</w:t>
      </w:r>
    </w:p>
    <w:p w:rsidR="005A7775" w:rsidRPr="009E6E36" w:rsidRDefault="00622450" w:rsidP="00750FA5">
      <w:pPr>
        <w:rPr>
          <w:rFonts w:eastAsia="Times New Roman"/>
          <w:color w:val="000000"/>
          <w:szCs w:val="27"/>
          <w:lang w:val="en-US"/>
        </w:rPr>
      </w:pPr>
      <w:r w:rsidRPr="009E6E36">
        <w:rPr>
          <w:rFonts w:eastAsia="Times New Roman"/>
          <w:color w:val="000000"/>
          <w:szCs w:val="27"/>
          <w:lang w:val="en-US"/>
        </w:rPr>
        <w:t>Sportske aktivnosti na području općine odvijaju se kroz plansku aktivnost Sportskog saveza i klubova koji u svojim sportskim nadmetanjma organiziraju kolektivna i pojedinačna takmičenja. Oblast fizičke kulture na području općine je organizirana na osnovu Zakona o sportu TK6. Glavno obilježje kalesijskog sporta je masovnost i veliki broj sportskih takmičenja. U općini djeluje 19 različitih sportskih klubova u kojima su uključeni mladi7. Sportisti i sportski klubovi iz Kalesije ostvaruju značajne rezultate. Na području općine postoji 8 travnatih terena, te 10 asfaltiranih sportskih poligona</w:t>
      </w:r>
      <w:r w:rsidR="000518DD" w:rsidRPr="009E6E36">
        <w:rPr>
          <w:rFonts w:eastAsia="Times New Roman"/>
          <w:color w:val="000000"/>
          <w:szCs w:val="27"/>
          <w:lang w:val="en-US"/>
        </w:rPr>
        <w:t>.</w:t>
      </w:r>
      <w:r w:rsidRPr="009E6E36">
        <w:rPr>
          <w:rFonts w:eastAsia="Times New Roman"/>
          <w:color w:val="000000"/>
          <w:szCs w:val="27"/>
          <w:lang w:val="en-US"/>
        </w:rPr>
        <w:t xml:space="preserve"> Jedan od problema odnosi se na nedostatak prostora za trenažni proces i takmičenje. U općini nema ni vanjskog sportsko-rekreativnog ce</w:t>
      </w:r>
      <w:r w:rsidR="000518DD" w:rsidRPr="009E6E36">
        <w:rPr>
          <w:rFonts w:eastAsia="Times New Roman"/>
          <w:color w:val="000000"/>
          <w:szCs w:val="27"/>
          <w:lang w:val="en-US"/>
        </w:rPr>
        <w:t>ntra (bazen, atletska staza,</w:t>
      </w:r>
      <w:r w:rsidRPr="009E6E36">
        <w:rPr>
          <w:rFonts w:eastAsia="Times New Roman"/>
          <w:color w:val="000000"/>
          <w:szCs w:val="27"/>
          <w:lang w:val="en-US"/>
        </w:rPr>
        <w:t xml:space="preserve">). Sve dvoranske aktivnosti odvijaju se u sali MSŠ Kalesija za tjelesni odgoj školske djece. Nadalje, evidentan je nedostatak finansijskih sredstava za rad svih sportskih klubova. Iz općinskog budžeta dodjeljuju se sredstva Sportskom savezu8, koji je izvršavao transfer novca prema klubovima. Kriterij za raspodjelu sredstava bili su troškovi klubova za takmičenja, masovnost </w:t>
      </w:r>
      <w:r w:rsidRPr="009E6E36">
        <w:rPr>
          <w:rFonts w:eastAsia="Times New Roman"/>
          <w:color w:val="000000"/>
          <w:szCs w:val="27"/>
          <w:lang w:val="en-US"/>
        </w:rPr>
        <w:lastRenderedPageBreak/>
        <w:t>njihovog članstva i sportski rezultati. Budžetom za 2017. godinu planiran je iznos od 200.000 KM za rad sportskih klubova, a kriterije za raspodjelu sredstava definirat će općinske vlasti. Također, za rad Sportskog društvo "Bosna" Kalesija izdvaja se dodatnih 5.000,00 KM godišnje.</w:t>
      </w:r>
    </w:p>
    <w:p w:rsidR="005A7775" w:rsidRPr="005A7775" w:rsidRDefault="005A7775" w:rsidP="005A7775">
      <w:pPr>
        <w:pStyle w:val="Heading4"/>
      </w:pPr>
      <w:bookmarkStart w:id="71" w:name="_Toc500140023"/>
      <w:r w:rsidRPr="009E6E36">
        <w:t>Dijaspora</w:t>
      </w:r>
      <w:bookmarkEnd w:id="71"/>
    </w:p>
    <w:p w:rsidR="001940AE" w:rsidRPr="001940AE" w:rsidRDefault="005A7775" w:rsidP="00750FA5">
      <w:pPr>
        <w:rPr>
          <w:iCs/>
        </w:rPr>
      </w:pPr>
      <w:r w:rsidRPr="005A7775">
        <w:rPr>
          <w:iCs/>
        </w:rPr>
        <w:t>Dijaspora općine Kalesija, u odnosu na b</w:t>
      </w:r>
      <w:r>
        <w:rPr>
          <w:iCs/>
        </w:rPr>
        <w:t>roj stanovnika je veoma brojna</w:t>
      </w:r>
      <w:r w:rsidRPr="005A7775">
        <w:rPr>
          <w:iCs/>
        </w:rPr>
        <w:t xml:space="preserve">. </w:t>
      </w:r>
      <w:r>
        <w:rPr>
          <w:iCs/>
        </w:rPr>
        <w:t>N</w:t>
      </w:r>
      <w:r w:rsidRPr="005A7775">
        <w:rPr>
          <w:iCs/>
        </w:rPr>
        <w:t>ajveći broj građana</w:t>
      </w:r>
      <w:r>
        <w:rPr>
          <w:iCs/>
        </w:rPr>
        <w:t xml:space="preserve"> je</w:t>
      </w:r>
      <w:r w:rsidRPr="005A7775">
        <w:rPr>
          <w:iCs/>
        </w:rPr>
        <w:t xml:space="preserve"> u zemljama Zapadne Evrope, među kojima prednjače</w:t>
      </w:r>
      <w:r>
        <w:rPr>
          <w:iCs/>
        </w:rPr>
        <w:t>:</w:t>
      </w:r>
      <w:r w:rsidRPr="005A7775">
        <w:rPr>
          <w:iCs/>
        </w:rPr>
        <w:t xml:space="preserve"> Njemačka, Švicarska, Austrija, Slovenija, zatim Luxembo</w:t>
      </w:r>
      <w:r>
        <w:rPr>
          <w:iCs/>
        </w:rPr>
        <w:t xml:space="preserve">urg, Francuska, Švedska i druge, </w:t>
      </w:r>
      <w:r w:rsidRPr="005A7775">
        <w:rPr>
          <w:iCs/>
        </w:rPr>
        <w:t>kao i u Americi i Australiji.</w:t>
      </w:r>
      <w:r>
        <w:rPr>
          <w:iCs/>
        </w:rPr>
        <w:t xml:space="preserve"> </w:t>
      </w:r>
      <w:r w:rsidRPr="005A7775">
        <w:rPr>
          <w:iCs/>
        </w:rPr>
        <w:t xml:space="preserve">Dijaspora Kalesije je i prije rata bila </w:t>
      </w:r>
      <w:r>
        <w:rPr>
          <w:iCs/>
        </w:rPr>
        <w:t>brojna</w:t>
      </w:r>
      <w:r w:rsidRPr="005A7775">
        <w:rPr>
          <w:iCs/>
        </w:rPr>
        <w:t>, a ratna dejstva su dopri</w:t>
      </w:r>
      <w:r>
        <w:rPr>
          <w:iCs/>
        </w:rPr>
        <w:t xml:space="preserve">nijela da se ona znatno poveća. </w:t>
      </w:r>
      <w:r w:rsidRPr="005A7775">
        <w:rPr>
          <w:iCs/>
        </w:rPr>
        <w:t xml:space="preserve">Znatan broj naših građana u dijaspori su uspješni biznismeni </w:t>
      </w:r>
      <w:r w:rsidRPr="001940AE">
        <w:rPr>
          <w:iCs/>
        </w:rPr>
        <w:t xml:space="preserve">i vlasnici kompanija, koje žele proširiti i na područje BiH, tj. općine Kalesija. </w:t>
      </w:r>
    </w:p>
    <w:p w:rsidR="005A7775" w:rsidRPr="001940AE" w:rsidRDefault="001940AE" w:rsidP="00750FA5">
      <w:pPr>
        <w:rPr>
          <w:iCs/>
        </w:rPr>
      </w:pPr>
      <w:r w:rsidRPr="001940AE">
        <w:rPr>
          <w:iCs/>
        </w:rPr>
        <w:t>Iako K</w:t>
      </w:r>
      <w:r w:rsidR="00C40241" w:rsidRPr="001940AE">
        <w:rPr>
          <w:iCs/>
        </w:rPr>
        <w:t>alesija ima mnogobrojnu dijasporu zvanični registar nije nikad uspostavljen, a takođe nisu poznata ni sredstva koja su uložena u našu općinu. Opće je poznato da su ulaganja velika posebno kad je upitanju sta</w:t>
      </w:r>
      <w:r w:rsidRPr="001940AE">
        <w:rPr>
          <w:iCs/>
        </w:rPr>
        <w:t>m</w:t>
      </w:r>
      <w:r w:rsidR="00C40241" w:rsidRPr="001940AE">
        <w:rPr>
          <w:iCs/>
        </w:rPr>
        <w:t>bena izgradnja. Općina Kalesija u naredno</w:t>
      </w:r>
      <w:r w:rsidRPr="001940AE">
        <w:rPr>
          <w:iCs/>
        </w:rPr>
        <w:t xml:space="preserve">m periodu planira uspostaviti </w:t>
      </w:r>
      <w:r w:rsidR="00C40241" w:rsidRPr="001940AE">
        <w:rPr>
          <w:iCs/>
        </w:rPr>
        <w:t xml:space="preserve">kancelariju za dijasporu, gdje će </w:t>
      </w:r>
      <w:r w:rsidRPr="001940AE">
        <w:rPr>
          <w:iCs/>
        </w:rPr>
        <w:t>se pojednostaviti administrativne</w:t>
      </w:r>
      <w:r w:rsidR="00C40241" w:rsidRPr="001940AE">
        <w:rPr>
          <w:iCs/>
        </w:rPr>
        <w:t xml:space="preserve"> procedure</w:t>
      </w:r>
      <w:r w:rsidRPr="001940AE">
        <w:rPr>
          <w:iCs/>
        </w:rPr>
        <w:t xml:space="preserve"> i pružanje usluga</w:t>
      </w:r>
      <w:r w:rsidR="00C40241" w:rsidRPr="001940AE">
        <w:rPr>
          <w:iCs/>
        </w:rPr>
        <w:t xml:space="preserve"> za ovu populaciju kada dolaze u našu općinu za </w:t>
      </w:r>
      <w:r w:rsidRPr="001940AE">
        <w:rPr>
          <w:iCs/>
        </w:rPr>
        <w:t>vrijeme godišnjih odmora. To se pr</w:t>
      </w:r>
      <w:r w:rsidR="00C40241" w:rsidRPr="001940AE">
        <w:rPr>
          <w:iCs/>
        </w:rPr>
        <w:t xml:space="preserve">venstveno </w:t>
      </w:r>
      <w:r w:rsidRPr="001940AE">
        <w:rPr>
          <w:iCs/>
        </w:rPr>
        <w:t>odnosi na</w:t>
      </w:r>
      <w:r w:rsidR="00C40241" w:rsidRPr="001940AE">
        <w:rPr>
          <w:iCs/>
        </w:rPr>
        <w:t xml:space="preserve"> olakšic</w:t>
      </w:r>
      <w:r w:rsidRPr="001940AE">
        <w:rPr>
          <w:iCs/>
        </w:rPr>
        <w:t>e</w:t>
      </w:r>
      <w:r w:rsidR="00C40241" w:rsidRPr="001940AE">
        <w:rPr>
          <w:iCs/>
        </w:rPr>
        <w:t xml:space="preserve"> u pribavljanju određene dokumentacije.</w:t>
      </w:r>
    </w:p>
    <w:p w:rsidR="005A7775" w:rsidRPr="005A7775" w:rsidRDefault="005A7775" w:rsidP="00750FA5">
      <w:pPr>
        <w:rPr>
          <w:iCs/>
        </w:rPr>
      </w:pPr>
      <w:r w:rsidRPr="001940AE">
        <w:rPr>
          <w:iCs/>
        </w:rPr>
        <w:t>Općina Kalesija je činila i do sada, a činiće i u buduće, sve moguće kako bi građani iz dijaspore što lakše i</w:t>
      </w:r>
      <w:r w:rsidRPr="005A7775">
        <w:rPr>
          <w:iCs/>
        </w:rPr>
        <w:t xml:space="preserve"> brže ostvarili svoja prava u općini Kalesija</w:t>
      </w:r>
      <w:r>
        <w:rPr>
          <w:iCs/>
        </w:rPr>
        <w:t>. K</w:t>
      </w:r>
      <w:r w:rsidRPr="005A7775">
        <w:rPr>
          <w:iCs/>
        </w:rPr>
        <w:t>ada su u pitanju ulaganja u privredni razvoj, općina Kalesija je oformila poslovne zone, radi na izgradnji infrastrukture u istim, a zemljište ustupa po veoma pristupačnim cijenama.</w:t>
      </w:r>
      <w:r>
        <w:rPr>
          <w:iCs/>
        </w:rPr>
        <w:t xml:space="preserve"> </w:t>
      </w:r>
      <w:r w:rsidRPr="005A7775">
        <w:rPr>
          <w:iCs/>
        </w:rPr>
        <w:t>Građani Kalesije u dijaspori su organizovani u razne klubove i udruženja, sa kojima takođe postoji veoma uspješna saradnja i uzajamn</w:t>
      </w:r>
      <w:r>
        <w:rPr>
          <w:iCs/>
        </w:rPr>
        <w:t>e</w:t>
      </w:r>
      <w:r w:rsidRPr="005A7775">
        <w:rPr>
          <w:iCs/>
        </w:rPr>
        <w:t xml:space="preserve"> posjet</w:t>
      </w:r>
      <w:r>
        <w:rPr>
          <w:iCs/>
        </w:rPr>
        <w:t>e</w:t>
      </w:r>
      <w:r w:rsidRPr="005A7775">
        <w:rPr>
          <w:iCs/>
        </w:rPr>
        <w:t xml:space="preserve"> u oblasti kulture i sporta, te razmjena</w:t>
      </w:r>
      <w:r>
        <w:rPr>
          <w:iCs/>
        </w:rPr>
        <w:t xml:space="preserve"> iskustava u privrednom razvoju</w:t>
      </w:r>
      <w:r w:rsidRPr="005A7775">
        <w:rPr>
          <w:iCs/>
        </w:rPr>
        <w:t>.</w:t>
      </w:r>
    </w:p>
    <w:p w:rsidR="005A7775" w:rsidRPr="005A7775" w:rsidRDefault="005A7775" w:rsidP="00750FA5">
      <w:pPr>
        <w:rPr>
          <w:iCs/>
        </w:rPr>
      </w:pPr>
      <w:r w:rsidRPr="005A7775">
        <w:rPr>
          <w:iCs/>
        </w:rPr>
        <w:t>Zahvaljujući velikom zalaganju i aktivnostima naših građana u dijaspori, općina Kalesija je već zaključila sporazum o bratimlj</w:t>
      </w:r>
      <w:r>
        <w:rPr>
          <w:iCs/>
        </w:rPr>
        <w:t>enju sa gradom Zug u Š</w:t>
      </w:r>
      <w:r w:rsidRPr="005A7775">
        <w:rPr>
          <w:iCs/>
        </w:rPr>
        <w:t>vicarskoj, a pokrenute su akt</w:t>
      </w:r>
      <w:r>
        <w:rPr>
          <w:iCs/>
        </w:rPr>
        <w:t>ivnosti i na bratimljenju sa op</w:t>
      </w:r>
      <w:r w:rsidRPr="005A7775">
        <w:rPr>
          <w:iCs/>
        </w:rPr>
        <w:t xml:space="preserve">ćinom Petange u Luxembourgu. </w:t>
      </w:r>
    </w:p>
    <w:p w:rsidR="005A7775" w:rsidRDefault="005A7775" w:rsidP="00750FA5">
      <w:pPr>
        <w:rPr>
          <w:iCs/>
        </w:rPr>
      </w:pPr>
      <w:r w:rsidRPr="005A7775">
        <w:rPr>
          <w:iCs/>
        </w:rPr>
        <w:t>Dijaspora takođe predstavlja značajan faktor u političkom životu Kalesije, izlaskom na izbore organizovane u BiH i pored toga što postoje određene smetnje i prepreke u pogledu primjene izbornog zakona za ovu kategoriju stanovništva.</w:t>
      </w:r>
    </w:p>
    <w:p w:rsidR="009568F4" w:rsidRPr="00B60137" w:rsidRDefault="00C41F5A" w:rsidP="00AD59CB">
      <w:pPr>
        <w:pStyle w:val="Heading3"/>
        <w:rPr>
          <w:rFonts w:ascii="Arial" w:hAnsi="Arial" w:cs="Arial"/>
          <w:lang w:eastAsia="hi-IN" w:bidi="hi-IN"/>
        </w:rPr>
      </w:pPr>
      <w:bookmarkStart w:id="72" w:name="_Toc491379767"/>
      <w:bookmarkStart w:id="73" w:name="_Toc500140024"/>
      <w:r>
        <w:rPr>
          <w:lang w:eastAsia="hi-IN" w:bidi="hi-IN"/>
        </w:rPr>
        <w:t>IV1.5.</w:t>
      </w:r>
      <w:r w:rsidRPr="0094519D">
        <w:rPr>
          <w:lang w:eastAsia="hi-IN" w:bidi="hi-IN"/>
        </w:rPr>
        <w:t xml:space="preserve"> In</w:t>
      </w:r>
      <w:r>
        <w:rPr>
          <w:lang w:eastAsia="hi-IN" w:bidi="hi-IN"/>
        </w:rPr>
        <w:t>frastruktura i zaštita okoliša</w:t>
      </w:r>
      <w:bookmarkEnd w:id="72"/>
      <w:bookmarkEnd w:id="73"/>
    </w:p>
    <w:p w:rsidR="00C41F5A" w:rsidRPr="009568F4" w:rsidRDefault="0017088B" w:rsidP="00AD59CB">
      <w:pPr>
        <w:pStyle w:val="Heading4"/>
        <w:rPr>
          <w:lang w:eastAsia="hi-IN" w:bidi="hi-IN"/>
        </w:rPr>
      </w:pPr>
      <w:bookmarkStart w:id="74" w:name="_Toc500140025"/>
      <w:r>
        <w:rPr>
          <w:lang w:val="hr-BA" w:eastAsia="hi-IN" w:bidi="hi-IN"/>
        </w:rPr>
        <w:t>Vodosnabdijevanje</w:t>
      </w:r>
      <w:bookmarkEnd w:id="74"/>
    </w:p>
    <w:p w:rsidR="005F747A" w:rsidRDefault="005F747A" w:rsidP="00750FA5">
      <w:pPr>
        <w:rPr>
          <w:lang w:val="hr-HR" w:eastAsia="ar-SA"/>
        </w:rPr>
      </w:pPr>
      <w:r w:rsidRPr="0094519D">
        <w:rPr>
          <w:lang w:val="hr-HR" w:eastAsia="ar-SA"/>
        </w:rPr>
        <w:t>„JP Vodovod i kanalizacija“ d.o.o. Kalesija</w:t>
      </w:r>
      <w:r w:rsidR="00235AB8">
        <w:rPr>
          <w:rStyle w:val="FootnoteReference"/>
          <w:lang w:val="hr-HR" w:eastAsia="ar-SA"/>
        </w:rPr>
        <w:footnoteReference w:id="43"/>
      </w:r>
      <w:r w:rsidRPr="0094519D">
        <w:rPr>
          <w:lang w:val="hr-HR" w:eastAsia="ar-SA"/>
        </w:rPr>
        <w:t xml:space="preserve"> zaduženo je </w:t>
      </w:r>
      <w:r>
        <w:rPr>
          <w:lang w:eastAsia="ar-SA"/>
        </w:rPr>
        <w:t>z</w:t>
      </w:r>
      <w:r>
        <w:rPr>
          <w:lang w:val="hr-HR" w:eastAsia="ar-SA"/>
        </w:rPr>
        <w:t xml:space="preserve">a </w:t>
      </w:r>
      <w:r w:rsidRPr="0094519D">
        <w:rPr>
          <w:lang w:val="hr-HR" w:eastAsia="ar-SA"/>
        </w:rPr>
        <w:t>upravljanje cjelokupnim gradskim vodovodnim i kanalizacionim sistemom</w:t>
      </w:r>
      <w:r>
        <w:rPr>
          <w:lang w:val="hr-HR" w:eastAsia="ar-SA"/>
        </w:rPr>
        <w:t>, uključujući i upravljanje p</w:t>
      </w:r>
      <w:r w:rsidRPr="0094519D">
        <w:rPr>
          <w:lang w:val="hr-HR" w:eastAsia="ar-SA"/>
        </w:rPr>
        <w:t>ostrojenje</w:t>
      </w:r>
      <w:r>
        <w:rPr>
          <w:lang w:val="hr-HR" w:eastAsia="ar-SA"/>
        </w:rPr>
        <w:t>m</w:t>
      </w:r>
      <w:r w:rsidRPr="0094519D">
        <w:rPr>
          <w:lang w:val="hr-HR" w:eastAsia="ar-SA"/>
        </w:rPr>
        <w:t xml:space="preserve"> za pripremu pitke vode ”Krušik”</w:t>
      </w:r>
      <w:r>
        <w:rPr>
          <w:lang w:val="hr-HR" w:eastAsia="ar-SA"/>
        </w:rPr>
        <w:t>, koje je</w:t>
      </w:r>
      <w:r w:rsidRPr="0094519D">
        <w:rPr>
          <w:lang w:val="hr-HR" w:eastAsia="ar-SA"/>
        </w:rPr>
        <w:t xml:space="preserve"> izgrađeno 2013. godine. </w:t>
      </w:r>
    </w:p>
    <w:p w:rsidR="00563875" w:rsidRDefault="00B25A71" w:rsidP="00750FA5">
      <w:pPr>
        <w:rPr>
          <w:lang w:val="hr-HR" w:eastAsia="ar-SA"/>
        </w:rPr>
      </w:pPr>
      <w:r>
        <w:rPr>
          <w:lang w:val="hr-HR" w:eastAsia="hi-IN" w:bidi="hi-IN"/>
        </w:rPr>
        <w:t>Prema podacima</w:t>
      </w:r>
      <w:r w:rsidRPr="0094519D">
        <w:rPr>
          <w:lang w:val="hr-HR" w:eastAsia="hi-IN" w:bidi="hi-IN"/>
        </w:rPr>
        <w:t xml:space="preserve"> </w:t>
      </w:r>
      <w:r>
        <w:rPr>
          <w:lang w:val="hr-HR" w:eastAsia="hi-IN" w:bidi="hi-IN"/>
        </w:rPr>
        <w:t xml:space="preserve">iz </w:t>
      </w:r>
      <w:r w:rsidRPr="0094519D">
        <w:rPr>
          <w:lang w:val="hr-HR" w:eastAsia="hi-IN" w:bidi="hi-IN"/>
        </w:rPr>
        <w:t>mart</w:t>
      </w:r>
      <w:r>
        <w:rPr>
          <w:lang w:val="hr-HR" w:eastAsia="hi-IN" w:bidi="hi-IN"/>
        </w:rPr>
        <w:t>a</w:t>
      </w:r>
      <w:r w:rsidRPr="0094519D">
        <w:rPr>
          <w:lang w:val="hr-HR" w:eastAsia="hi-IN" w:bidi="hi-IN"/>
        </w:rPr>
        <w:t xml:space="preserve"> 2017</w:t>
      </w:r>
      <w:r>
        <w:rPr>
          <w:lang w:val="hr-HR" w:eastAsia="hi-IN" w:bidi="hi-IN"/>
        </w:rPr>
        <w:t>. godine, ukupan broj korisnika</w:t>
      </w:r>
      <w:r w:rsidR="0017088B" w:rsidRPr="0094519D">
        <w:rPr>
          <w:lang w:val="hr-HR" w:eastAsia="hi-IN" w:bidi="hi-IN"/>
        </w:rPr>
        <w:t xml:space="preserve"> javnog vodosnabdjevanja </w:t>
      </w:r>
      <w:r>
        <w:rPr>
          <w:lang w:val="hr-HR" w:eastAsia="hi-IN" w:bidi="hi-IN"/>
        </w:rPr>
        <w:t xml:space="preserve">je </w:t>
      </w:r>
      <w:r w:rsidR="0017088B" w:rsidRPr="0094519D">
        <w:rPr>
          <w:rFonts w:cs="Mangal"/>
          <w:szCs w:val="21"/>
          <w:lang w:val="hr-HR" w:eastAsia="hi-IN" w:bidi="hi-IN"/>
        </w:rPr>
        <w:t>5</w:t>
      </w:r>
      <w:r>
        <w:rPr>
          <w:rFonts w:cs="Mangal"/>
          <w:szCs w:val="21"/>
          <w:lang w:val="hr-HR" w:eastAsia="hi-IN" w:bidi="hi-IN"/>
        </w:rPr>
        <w:t>.</w:t>
      </w:r>
      <w:r w:rsidR="0017088B" w:rsidRPr="0094519D">
        <w:rPr>
          <w:rFonts w:cs="Mangal"/>
          <w:szCs w:val="21"/>
          <w:lang w:val="hr-HR" w:eastAsia="hi-IN" w:bidi="hi-IN"/>
        </w:rPr>
        <w:t>803</w:t>
      </w:r>
      <w:r>
        <w:rPr>
          <w:rFonts w:cs="Mangal"/>
          <w:szCs w:val="21"/>
          <w:lang w:val="hr-HR" w:eastAsia="hi-IN" w:bidi="hi-IN"/>
        </w:rPr>
        <w:t xml:space="preserve">, od toga </w:t>
      </w:r>
      <w:r w:rsidR="005F747A">
        <w:rPr>
          <w:rFonts w:cs="Mangal"/>
          <w:szCs w:val="21"/>
          <w:lang w:val="hr-HR" w:eastAsia="hi-IN" w:bidi="hi-IN"/>
        </w:rPr>
        <w:t>je</w:t>
      </w:r>
      <w:r>
        <w:rPr>
          <w:rFonts w:cs="Mangal"/>
          <w:szCs w:val="21"/>
          <w:lang w:val="hr-HR" w:eastAsia="hi-IN" w:bidi="hi-IN"/>
        </w:rPr>
        <w:t xml:space="preserve"> </w:t>
      </w:r>
      <w:r w:rsidRPr="00B60137">
        <w:rPr>
          <w:lang w:eastAsia="hi-IN" w:bidi="hi-IN"/>
        </w:rPr>
        <w:t>5.489</w:t>
      </w:r>
      <w:r>
        <w:rPr>
          <w:lang w:eastAsia="hi-IN" w:bidi="hi-IN"/>
        </w:rPr>
        <w:t xml:space="preserve"> domaćinstava i 314 pravnih lica. </w:t>
      </w:r>
      <w:r w:rsidR="0017088B" w:rsidRPr="0094519D">
        <w:rPr>
          <w:lang w:val="hr-HR" w:eastAsia="hi-IN" w:bidi="hi-IN"/>
        </w:rPr>
        <w:t xml:space="preserve">Procjena je da uslugu javnog </w:t>
      </w:r>
      <w:r w:rsidR="0017088B">
        <w:rPr>
          <w:lang w:val="hr-HR" w:eastAsia="hi-IN" w:bidi="hi-IN"/>
        </w:rPr>
        <w:t>vodosnabdjevanja koristi oko 22.</w:t>
      </w:r>
      <w:r w:rsidR="0017088B" w:rsidRPr="0094519D">
        <w:rPr>
          <w:lang w:val="hr-HR" w:eastAsia="hi-IN" w:bidi="hi-IN"/>
        </w:rPr>
        <w:t>000 stanovnika</w:t>
      </w:r>
      <w:r w:rsidR="0017088B">
        <w:rPr>
          <w:lang w:val="hr-HR" w:eastAsia="hi-IN" w:bidi="hi-IN"/>
        </w:rPr>
        <w:t>,</w:t>
      </w:r>
      <w:r w:rsidR="0017088B" w:rsidRPr="0094519D">
        <w:rPr>
          <w:lang w:val="hr-HR" w:eastAsia="hi-IN" w:bidi="hi-IN"/>
        </w:rPr>
        <w:t xml:space="preserve"> od toga 7</w:t>
      </w:r>
      <w:r w:rsidR="0017088B">
        <w:rPr>
          <w:lang w:val="hr-HR" w:eastAsia="hi-IN" w:bidi="hi-IN"/>
        </w:rPr>
        <w:t>.</w:t>
      </w:r>
      <w:r w:rsidR="0017088B" w:rsidRPr="0094519D">
        <w:rPr>
          <w:lang w:val="hr-HR" w:eastAsia="hi-IN" w:bidi="hi-IN"/>
        </w:rPr>
        <w:t xml:space="preserve">500 stanovnika iz urbanog dijela </w:t>
      </w:r>
      <w:r w:rsidR="0017088B">
        <w:rPr>
          <w:lang w:val="hr-HR" w:eastAsia="hi-IN" w:bidi="hi-IN"/>
        </w:rPr>
        <w:t>i</w:t>
      </w:r>
      <w:r w:rsidR="0017088B" w:rsidRPr="0094519D">
        <w:rPr>
          <w:lang w:val="hr-HR" w:eastAsia="hi-IN" w:bidi="hi-IN"/>
        </w:rPr>
        <w:t xml:space="preserve"> 14</w:t>
      </w:r>
      <w:r w:rsidR="0017088B">
        <w:rPr>
          <w:lang w:val="hr-HR" w:eastAsia="hi-IN" w:bidi="hi-IN"/>
        </w:rPr>
        <w:t>.</w:t>
      </w:r>
      <w:r w:rsidR="0017088B" w:rsidRPr="0094519D">
        <w:rPr>
          <w:lang w:val="hr-HR" w:eastAsia="hi-IN" w:bidi="hi-IN"/>
        </w:rPr>
        <w:t>500 iz ruralnih dijelova općine</w:t>
      </w:r>
      <w:r w:rsidR="0017088B" w:rsidRPr="0094519D">
        <w:rPr>
          <w:vertAlign w:val="superscript"/>
          <w:lang w:val="hr-HR" w:eastAsia="hi-IN" w:bidi="hi-IN"/>
        </w:rPr>
        <w:footnoteReference w:id="44"/>
      </w:r>
      <w:r w:rsidR="0017088B">
        <w:rPr>
          <w:lang w:val="hr-HR" w:eastAsia="hi-IN" w:bidi="hi-IN"/>
        </w:rPr>
        <w:t xml:space="preserve">. </w:t>
      </w:r>
      <w:r w:rsidR="00563875" w:rsidRPr="0094519D">
        <w:rPr>
          <w:lang w:val="hr-HR" w:eastAsia="ar-SA"/>
        </w:rPr>
        <w:t xml:space="preserve">U posljednje vrijeme uloženi </w:t>
      </w:r>
      <w:r w:rsidR="00563875">
        <w:rPr>
          <w:lang w:val="hr-HR" w:eastAsia="ar-SA"/>
        </w:rPr>
        <w:t xml:space="preserve">su </w:t>
      </w:r>
      <w:r w:rsidR="00563875" w:rsidRPr="0094519D">
        <w:rPr>
          <w:lang w:val="hr-HR" w:eastAsia="ar-SA"/>
        </w:rPr>
        <w:t xml:space="preserve">značajni napori u rješavanju pitanja vodosnabdijevanja stanovništva na prostoru općine Kalesija. Uporedo sa razvojem vodosnabdijevanja užeg centra naselja Kalesija na teritoriji općine intenzivno se </w:t>
      </w:r>
      <w:r w:rsidR="00563875" w:rsidRPr="00133151">
        <w:rPr>
          <w:lang w:val="hr-HR" w:eastAsia="ar-SA"/>
        </w:rPr>
        <w:t xml:space="preserve">razvijala mreža individualnih (lokalnih) vodovoda. </w:t>
      </w:r>
      <w:r w:rsidR="00563875" w:rsidRPr="00133151">
        <w:t xml:space="preserve">U tabeli </w:t>
      </w:r>
      <w:r w:rsidR="00133151" w:rsidRPr="00133151">
        <w:t>13</w:t>
      </w:r>
      <w:r w:rsidR="00563875" w:rsidRPr="00133151">
        <w:t>. dati su podaci o ukupnom</w:t>
      </w:r>
      <w:r w:rsidR="00563875" w:rsidRPr="00122893">
        <w:t xml:space="preserve"> broju  mjesnih i grupnih vodovoda, javnih česmi i javnih bunara, sa procjenom </w:t>
      </w:r>
      <w:r w:rsidR="00563875" w:rsidRPr="00122893">
        <w:lastRenderedPageBreak/>
        <w:t>kapaciteta izgrađenih vodoprivrednih obj</w:t>
      </w:r>
      <w:r w:rsidR="00563875">
        <w:t xml:space="preserve">ekata (rezervoara) i procjenom </w:t>
      </w:r>
      <w:r w:rsidR="00563875" w:rsidRPr="00122893">
        <w:t xml:space="preserve">broja korisnika koji koriste vodu iz ovih objekata. </w:t>
      </w:r>
    </w:p>
    <w:p w:rsidR="00563875" w:rsidRPr="00B60137" w:rsidRDefault="00563875" w:rsidP="00563875">
      <w:pPr>
        <w:pStyle w:val="GrafiTabele"/>
      </w:pPr>
      <w:r>
        <w:t>Tabela 1</w:t>
      </w:r>
      <w:r w:rsidR="00133151">
        <w:t>3</w:t>
      </w:r>
      <w:r>
        <w:t xml:space="preserve">: Podaci o lokalnim vodovodima </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17"/>
        <w:gridCol w:w="2253"/>
        <w:gridCol w:w="2280"/>
        <w:gridCol w:w="2010"/>
        <w:gridCol w:w="2010"/>
      </w:tblGrid>
      <w:tr w:rsidR="00563875" w:rsidRPr="007B2938" w:rsidTr="005F747A">
        <w:trPr>
          <w:jc w:val="center"/>
        </w:trPr>
        <w:tc>
          <w:tcPr>
            <w:tcW w:w="717" w:type="dxa"/>
            <w:shd w:val="clear" w:color="auto" w:fill="D9D9D9" w:themeFill="background1" w:themeFillShade="D9"/>
            <w:vAlign w:val="center"/>
          </w:tcPr>
          <w:p w:rsidR="00563875" w:rsidRPr="007B2938" w:rsidRDefault="00563875" w:rsidP="00133151">
            <w:pPr>
              <w:pStyle w:val="TextinTables"/>
              <w:jc w:val="center"/>
              <w:rPr>
                <w:b/>
              </w:rPr>
            </w:pPr>
            <w:r w:rsidRPr="007B2938">
              <w:rPr>
                <w:b/>
              </w:rPr>
              <w:t>R.br.</w:t>
            </w:r>
          </w:p>
        </w:tc>
        <w:tc>
          <w:tcPr>
            <w:tcW w:w="2253" w:type="dxa"/>
            <w:shd w:val="clear" w:color="auto" w:fill="D9D9D9" w:themeFill="background1" w:themeFillShade="D9"/>
            <w:vAlign w:val="center"/>
          </w:tcPr>
          <w:p w:rsidR="00563875" w:rsidRPr="007B2938" w:rsidRDefault="00563875" w:rsidP="00133151">
            <w:pPr>
              <w:pStyle w:val="TextinTables"/>
              <w:jc w:val="center"/>
              <w:rPr>
                <w:b/>
              </w:rPr>
            </w:pPr>
            <w:r w:rsidRPr="007B2938">
              <w:rPr>
                <w:b/>
              </w:rPr>
              <w:t>Mjesna zajednica</w:t>
            </w:r>
          </w:p>
        </w:tc>
        <w:tc>
          <w:tcPr>
            <w:tcW w:w="2280" w:type="dxa"/>
            <w:shd w:val="clear" w:color="auto" w:fill="D9D9D9" w:themeFill="background1" w:themeFillShade="D9"/>
            <w:vAlign w:val="center"/>
          </w:tcPr>
          <w:p w:rsidR="00563875" w:rsidRPr="007B2938" w:rsidRDefault="00563875" w:rsidP="00133151">
            <w:pPr>
              <w:pStyle w:val="TextinTables"/>
              <w:jc w:val="center"/>
              <w:rPr>
                <w:b/>
              </w:rPr>
            </w:pPr>
            <w:r w:rsidRPr="007B2938">
              <w:rPr>
                <w:b/>
              </w:rPr>
              <w:t xml:space="preserve">Ukupan broj </w:t>
            </w:r>
            <w:r w:rsidR="00260F4F">
              <w:rPr>
                <w:b/>
              </w:rPr>
              <w:t>lokalnih</w:t>
            </w:r>
            <w:r w:rsidRPr="007B2938">
              <w:rPr>
                <w:b/>
              </w:rPr>
              <w:t xml:space="preserve"> vodovoda, javnih česmi i  javnih bunara</w:t>
            </w:r>
          </w:p>
        </w:tc>
        <w:tc>
          <w:tcPr>
            <w:tcW w:w="2010" w:type="dxa"/>
            <w:shd w:val="clear" w:color="auto" w:fill="D9D9D9" w:themeFill="background1" w:themeFillShade="D9"/>
            <w:vAlign w:val="center"/>
          </w:tcPr>
          <w:p w:rsidR="00563875" w:rsidRPr="007B2938" w:rsidRDefault="00563875" w:rsidP="00133151">
            <w:pPr>
              <w:pStyle w:val="TextinTables"/>
              <w:jc w:val="center"/>
              <w:rPr>
                <w:b/>
              </w:rPr>
            </w:pPr>
            <w:r w:rsidRPr="007B2938">
              <w:rPr>
                <w:b/>
              </w:rPr>
              <w:t>Zbirni kapacitet izgradjenih objekata</w:t>
            </w:r>
          </w:p>
          <w:p w:rsidR="00563875" w:rsidRPr="007B2938" w:rsidRDefault="00563875" w:rsidP="00133151">
            <w:pPr>
              <w:pStyle w:val="TextinTables"/>
              <w:jc w:val="center"/>
              <w:rPr>
                <w:b/>
              </w:rPr>
            </w:pPr>
            <w:r w:rsidRPr="007B2938">
              <w:rPr>
                <w:b/>
              </w:rPr>
              <w:t>(m</w:t>
            </w:r>
            <w:r w:rsidRPr="007B2938">
              <w:rPr>
                <w:b/>
                <w:vertAlign w:val="superscript"/>
              </w:rPr>
              <w:t>3</w:t>
            </w:r>
            <w:r w:rsidRPr="007B2938">
              <w:rPr>
                <w:b/>
              </w:rPr>
              <w:t>)</w:t>
            </w:r>
          </w:p>
        </w:tc>
        <w:tc>
          <w:tcPr>
            <w:tcW w:w="2010" w:type="dxa"/>
            <w:shd w:val="clear" w:color="auto" w:fill="D9D9D9" w:themeFill="background1" w:themeFillShade="D9"/>
            <w:vAlign w:val="center"/>
          </w:tcPr>
          <w:p w:rsidR="00563875" w:rsidRPr="007B2938" w:rsidRDefault="00563875" w:rsidP="00133151">
            <w:pPr>
              <w:pStyle w:val="TextinTables"/>
              <w:jc w:val="center"/>
              <w:rPr>
                <w:b/>
              </w:rPr>
            </w:pPr>
            <w:r w:rsidRPr="007B2938">
              <w:rPr>
                <w:b/>
              </w:rPr>
              <w:t>Broj domaćinstava</w:t>
            </w:r>
          </w:p>
          <w:p w:rsidR="00563875" w:rsidRPr="007B2938" w:rsidRDefault="00563875" w:rsidP="00133151">
            <w:pPr>
              <w:pStyle w:val="TextinTables"/>
              <w:jc w:val="center"/>
              <w:rPr>
                <w:b/>
              </w:rPr>
            </w:pPr>
            <w:r w:rsidRPr="007B2938">
              <w:rPr>
                <w:b/>
              </w:rPr>
              <w:t>korisnika</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1.</w:t>
            </w:r>
          </w:p>
        </w:tc>
        <w:tc>
          <w:tcPr>
            <w:tcW w:w="2253" w:type="dxa"/>
            <w:shd w:val="clear" w:color="auto" w:fill="auto"/>
            <w:vAlign w:val="center"/>
          </w:tcPr>
          <w:p w:rsidR="00563875" w:rsidRPr="00122893" w:rsidRDefault="00563875" w:rsidP="00133151">
            <w:pPr>
              <w:pStyle w:val="TextinTables"/>
              <w:jc w:val="left"/>
            </w:pPr>
            <w:r w:rsidRPr="00122893">
              <w:t>Kikači</w:t>
            </w:r>
          </w:p>
        </w:tc>
        <w:tc>
          <w:tcPr>
            <w:tcW w:w="2280" w:type="dxa"/>
            <w:shd w:val="clear" w:color="auto" w:fill="auto"/>
            <w:vAlign w:val="center"/>
          </w:tcPr>
          <w:p w:rsidR="00563875" w:rsidRPr="00122893" w:rsidRDefault="00563875" w:rsidP="00133151">
            <w:pPr>
              <w:pStyle w:val="TextinTables"/>
              <w:jc w:val="center"/>
            </w:pPr>
            <w:r w:rsidRPr="00122893">
              <w:t>6</w:t>
            </w:r>
          </w:p>
        </w:tc>
        <w:tc>
          <w:tcPr>
            <w:tcW w:w="2010" w:type="dxa"/>
            <w:shd w:val="clear" w:color="auto" w:fill="auto"/>
            <w:vAlign w:val="center"/>
          </w:tcPr>
          <w:p w:rsidR="00563875" w:rsidRPr="00122893" w:rsidRDefault="00563875" w:rsidP="00133151">
            <w:pPr>
              <w:pStyle w:val="TextinTables"/>
              <w:jc w:val="center"/>
            </w:pPr>
            <w:r w:rsidRPr="00122893">
              <w:t>110</w:t>
            </w:r>
          </w:p>
        </w:tc>
        <w:tc>
          <w:tcPr>
            <w:tcW w:w="2010" w:type="dxa"/>
            <w:shd w:val="clear" w:color="auto" w:fill="auto"/>
            <w:vAlign w:val="center"/>
          </w:tcPr>
          <w:p w:rsidR="00563875" w:rsidRPr="00122893" w:rsidRDefault="00563875" w:rsidP="00133151">
            <w:pPr>
              <w:pStyle w:val="TextinTables"/>
              <w:jc w:val="center"/>
            </w:pPr>
            <w:r w:rsidRPr="00122893">
              <w:t>88</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2.</w:t>
            </w:r>
          </w:p>
        </w:tc>
        <w:tc>
          <w:tcPr>
            <w:tcW w:w="2253" w:type="dxa"/>
            <w:shd w:val="clear" w:color="auto" w:fill="auto"/>
            <w:vAlign w:val="center"/>
          </w:tcPr>
          <w:p w:rsidR="00563875" w:rsidRPr="00122893" w:rsidRDefault="00563875" w:rsidP="00133151">
            <w:pPr>
              <w:pStyle w:val="TextinTables"/>
              <w:jc w:val="left"/>
            </w:pPr>
            <w:r w:rsidRPr="00122893">
              <w:t>Seljublje</w:t>
            </w:r>
          </w:p>
        </w:tc>
        <w:tc>
          <w:tcPr>
            <w:tcW w:w="2280" w:type="dxa"/>
            <w:shd w:val="clear" w:color="auto" w:fill="auto"/>
            <w:vAlign w:val="center"/>
          </w:tcPr>
          <w:p w:rsidR="00563875" w:rsidRPr="00122893" w:rsidRDefault="00563875" w:rsidP="00133151">
            <w:pPr>
              <w:pStyle w:val="TextinTables"/>
              <w:jc w:val="center"/>
            </w:pPr>
            <w:r w:rsidRPr="00122893">
              <w:t>5</w:t>
            </w:r>
          </w:p>
        </w:tc>
        <w:tc>
          <w:tcPr>
            <w:tcW w:w="2010" w:type="dxa"/>
            <w:shd w:val="clear" w:color="auto" w:fill="auto"/>
            <w:vAlign w:val="center"/>
          </w:tcPr>
          <w:p w:rsidR="00563875" w:rsidRPr="00122893" w:rsidRDefault="00563875" w:rsidP="00133151">
            <w:pPr>
              <w:pStyle w:val="TextinTables"/>
              <w:jc w:val="center"/>
            </w:pPr>
            <w:r w:rsidRPr="00122893">
              <w:t>71</w:t>
            </w:r>
          </w:p>
        </w:tc>
        <w:tc>
          <w:tcPr>
            <w:tcW w:w="2010" w:type="dxa"/>
            <w:shd w:val="clear" w:color="auto" w:fill="auto"/>
            <w:vAlign w:val="center"/>
          </w:tcPr>
          <w:p w:rsidR="00563875" w:rsidRPr="00122893" w:rsidRDefault="00563875" w:rsidP="00133151">
            <w:pPr>
              <w:pStyle w:val="TextinTables"/>
              <w:jc w:val="center"/>
            </w:pPr>
            <w:r w:rsidRPr="00122893">
              <w:t>274</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3.</w:t>
            </w:r>
          </w:p>
        </w:tc>
        <w:tc>
          <w:tcPr>
            <w:tcW w:w="2253" w:type="dxa"/>
            <w:shd w:val="clear" w:color="auto" w:fill="auto"/>
            <w:vAlign w:val="center"/>
          </w:tcPr>
          <w:p w:rsidR="00563875" w:rsidRPr="00122893" w:rsidRDefault="00563875" w:rsidP="00133151">
            <w:pPr>
              <w:pStyle w:val="TextinTables"/>
              <w:jc w:val="left"/>
            </w:pPr>
            <w:r w:rsidRPr="00122893">
              <w:t>Hrasno Donje</w:t>
            </w:r>
          </w:p>
        </w:tc>
        <w:tc>
          <w:tcPr>
            <w:tcW w:w="2280" w:type="dxa"/>
            <w:shd w:val="clear" w:color="auto" w:fill="auto"/>
            <w:vAlign w:val="center"/>
          </w:tcPr>
          <w:p w:rsidR="00563875" w:rsidRPr="00122893" w:rsidRDefault="00563875" w:rsidP="00133151">
            <w:pPr>
              <w:pStyle w:val="TextinTables"/>
              <w:jc w:val="center"/>
            </w:pPr>
            <w:r w:rsidRPr="00122893">
              <w:t>6</w:t>
            </w:r>
          </w:p>
        </w:tc>
        <w:tc>
          <w:tcPr>
            <w:tcW w:w="2010" w:type="dxa"/>
            <w:shd w:val="clear" w:color="auto" w:fill="auto"/>
            <w:vAlign w:val="center"/>
          </w:tcPr>
          <w:p w:rsidR="00563875" w:rsidRPr="00122893" w:rsidRDefault="00563875" w:rsidP="00133151">
            <w:pPr>
              <w:pStyle w:val="TextinTables"/>
              <w:jc w:val="center"/>
            </w:pPr>
            <w:r w:rsidRPr="00122893">
              <w:t>205</w:t>
            </w:r>
          </w:p>
        </w:tc>
        <w:tc>
          <w:tcPr>
            <w:tcW w:w="2010" w:type="dxa"/>
            <w:shd w:val="clear" w:color="auto" w:fill="auto"/>
            <w:vAlign w:val="center"/>
          </w:tcPr>
          <w:p w:rsidR="00563875" w:rsidRPr="00122893" w:rsidRDefault="00563875" w:rsidP="00133151">
            <w:pPr>
              <w:pStyle w:val="TextinTables"/>
              <w:jc w:val="center"/>
            </w:pPr>
            <w:r w:rsidRPr="00122893">
              <w:t>439</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4.</w:t>
            </w:r>
          </w:p>
        </w:tc>
        <w:tc>
          <w:tcPr>
            <w:tcW w:w="2253" w:type="dxa"/>
            <w:shd w:val="clear" w:color="auto" w:fill="auto"/>
            <w:vAlign w:val="center"/>
          </w:tcPr>
          <w:p w:rsidR="00563875" w:rsidRPr="00122893" w:rsidRDefault="00563875" w:rsidP="00133151">
            <w:pPr>
              <w:pStyle w:val="TextinTables"/>
              <w:jc w:val="left"/>
            </w:pPr>
            <w:r w:rsidRPr="00122893">
              <w:t>Vukovije Gornje</w:t>
            </w:r>
          </w:p>
        </w:tc>
        <w:tc>
          <w:tcPr>
            <w:tcW w:w="2280" w:type="dxa"/>
            <w:shd w:val="clear" w:color="auto" w:fill="auto"/>
            <w:vAlign w:val="center"/>
          </w:tcPr>
          <w:p w:rsidR="00563875" w:rsidRPr="00122893" w:rsidRDefault="00563875" w:rsidP="00133151">
            <w:pPr>
              <w:pStyle w:val="TextinTables"/>
              <w:jc w:val="center"/>
            </w:pPr>
            <w:r w:rsidRPr="00122893">
              <w:t>5</w:t>
            </w:r>
          </w:p>
        </w:tc>
        <w:tc>
          <w:tcPr>
            <w:tcW w:w="2010" w:type="dxa"/>
            <w:shd w:val="clear" w:color="auto" w:fill="auto"/>
            <w:vAlign w:val="center"/>
          </w:tcPr>
          <w:p w:rsidR="00563875" w:rsidRPr="00122893" w:rsidRDefault="00563875" w:rsidP="00133151">
            <w:pPr>
              <w:pStyle w:val="TextinTables"/>
              <w:jc w:val="center"/>
            </w:pPr>
            <w:r w:rsidRPr="00122893">
              <w:t>25</w:t>
            </w:r>
          </w:p>
        </w:tc>
        <w:tc>
          <w:tcPr>
            <w:tcW w:w="2010" w:type="dxa"/>
            <w:shd w:val="clear" w:color="auto" w:fill="auto"/>
            <w:vAlign w:val="center"/>
          </w:tcPr>
          <w:p w:rsidR="00563875" w:rsidRPr="00122893" w:rsidRDefault="00563875" w:rsidP="00133151">
            <w:pPr>
              <w:pStyle w:val="TextinTables"/>
              <w:jc w:val="center"/>
            </w:pPr>
            <w:r w:rsidRPr="00122893">
              <w:t>660</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5.</w:t>
            </w:r>
          </w:p>
        </w:tc>
        <w:tc>
          <w:tcPr>
            <w:tcW w:w="2253" w:type="dxa"/>
            <w:shd w:val="clear" w:color="auto" w:fill="auto"/>
            <w:vAlign w:val="center"/>
          </w:tcPr>
          <w:p w:rsidR="00563875" w:rsidRPr="00122893" w:rsidRDefault="00563875" w:rsidP="00133151">
            <w:pPr>
              <w:pStyle w:val="TextinTables"/>
              <w:jc w:val="left"/>
            </w:pPr>
            <w:r w:rsidRPr="00122893">
              <w:t>Vukovije Donje</w:t>
            </w:r>
          </w:p>
        </w:tc>
        <w:tc>
          <w:tcPr>
            <w:tcW w:w="2280" w:type="dxa"/>
            <w:shd w:val="clear" w:color="auto" w:fill="auto"/>
            <w:vAlign w:val="center"/>
          </w:tcPr>
          <w:p w:rsidR="00563875" w:rsidRPr="00122893" w:rsidRDefault="00563875" w:rsidP="00133151">
            <w:pPr>
              <w:pStyle w:val="TextinTables"/>
              <w:jc w:val="center"/>
            </w:pPr>
            <w:r w:rsidRPr="00122893">
              <w:t>2</w:t>
            </w:r>
          </w:p>
        </w:tc>
        <w:tc>
          <w:tcPr>
            <w:tcW w:w="2010" w:type="dxa"/>
            <w:shd w:val="clear" w:color="auto" w:fill="auto"/>
            <w:vAlign w:val="center"/>
          </w:tcPr>
          <w:p w:rsidR="00563875" w:rsidRPr="00122893" w:rsidRDefault="00563875" w:rsidP="00133151">
            <w:pPr>
              <w:pStyle w:val="TextinTables"/>
              <w:jc w:val="center"/>
            </w:pPr>
            <w:r w:rsidRPr="00122893">
              <w:t>10</w:t>
            </w:r>
          </w:p>
        </w:tc>
        <w:tc>
          <w:tcPr>
            <w:tcW w:w="2010" w:type="dxa"/>
            <w:shd w:val="clear" w:color="auto" w:fill="auto"/>
            <w:vAlign w:val="center"/>
          </w:tcPr>
          <w:p w:rsidR="00563875" w:rsidRPr="00122893" w:rsidRDefault="00563875" w:rsidP="00133151">
            <w:pPr>
              <w:pStyle w:val="TextinTables"/>
              <w:jc w:val="center"/>
            </w:pPr>
            <w:r w:rsidRPr="00122893">
              <w:t>500</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6.</w:t>
            </w:r>
          </w:p>
        </w:tc>
        <w:tc>
          <w:tcPr>
            <w:tcW w:w="2253" w:type="dxa"/>
            <w:shd w:val="clear" w:color="auto" w:fill="auto"/>
            <w:vAlign w:val="center"/>
          </w:tcPr>
          <w:p w:rsidR="00563875" w:rsidRPr="00122893" w:rsidRDefault="00563875" w:rsidP="00133151">
            <w:pPr>
              <w:pStyle w:val="TextinTables"/>
              <w:jc w:val="left"/>
            </w:pPr>
            <w:r w:rsidRPr="00122893">
              <w:t>Rainci Gornji</w:t>
            </w:r>
          </w:p>
        </w:tc>
        <w:tc>
          <w:tcPr>
            <w:tcW w:w="2280" w:type="dxa"/>
            <w:shd w:val="clear" w:color="auto" w:fill="auto"/>
            <w:vAlign w:val="center"/>
          </w:tcPr>
          <w:p w:rsidR="00563875" w:rsidRPr="00122893" w:rsidRDefault="00563875" w:rsidP="00133151">
            <w:pPr>
              <w:pStyle w:val="TextinTables"/>
              <w:jc w:val="center"/>
            </w:pPr>
            <w:r w:rsidRPr="00122893">
              <w:t>5</w:t>
            </w:r>
          </w:p>
        </w:tc>
        <w:tc>
          <w:tcPr>
            <w:tcW w:w="2010" w:type="dxa"/>
            <w:shd w:val="clear" w:color="auto" w:fill="auto"/>
            <w:vAlign w:val="center"/>
          </w:tcPr>
          <w:p w:rsidR="00563875" w:rsidRPr="00122893" w:rsidRDefault="00563875" w:rsidP="00133151">
            <w:pPr>
              <w:pStyle w:val="TextinTables"/>
              <w:jc w:val="center"/>
            </w:pPr>
            <w:r w:rsidRPr="00122893">
              <w:t>178</w:t>
            </w:r>
          </w:p>
        </w:tc>
        <w:tc>
          <w:tcPr>
            <w:tcW w:w="2010" w:type="dxa"/>
            <w:shd w:val="clear" w:color="auto" w:fill="auto"/>
            <w:vAlign w:val="center"/>
          </w:tcPr>
          <w:p w:rsidR="00563875" w:rsidRPr="00122893" w:rsidRDefault="00563875" w:rsidP="00133151">
            <w:pPr>
              <w:pStyle w:val="TextinTables"/>
              <w:jc w:val="center"/>
            </w:pPr>
            <w:r w:rsidRPr="00122893">
              <w:t>410</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7.</w:t>
            </w:r>
          </w:p>
        </w:tc>
        <w:tc>
          <w:tcPr>
            <w:tcW w:w="2253" w:type="dxa"/>
            <w:shd w:val="clear" w:color="auto" w:fill="auto"/>
            <w:vAlign w:val="center"/>
          </w:tcPr>
          <w:p w:rsidR="00563875" w:rsidRPr="00122893" w:rsidRDefault="00563875" w:rsidP="00133151">
            <w:pPr>
              <w:pStyle w:val="TextinTables"/>
              <w:jc w:val="left"/>
            </w:pPr>
            <w:r w:rsidRPr="00122893">
              <w:t>Sarači-Lipovice</w:t>
            </w:r>
          </w:p>
        </w:tc>
        <w:tc>
          <w:tcPr>
            <w:tcW w:w="2280" w:type="dxa"/>
            <w:shd w:val="clear" w:color="auto" w:fill="auto"/>
            <w:vAlign w:val="center"/>
          </w:tcPr>
          <w:p w:rsidR="00563875" w:rsidRPr="00122893" w:rsidRDefault="00563875" w:rsidP="00133151">
            <w:pPr>
              <w:pStyle w:val="TextinTables"/>
              <w:jc w:val="center"/>
            </w:pPr>
            <w:r w:rsidRPr="00122893">
              <w:t>3</w:t>
            </w:r>
          </w:p>
        </w:tc>
        <w:tc>
          <w:tcPr>
            <w:tcW w:w="2010" w:type="dxa"/>
            <w:shd w:val="clear" w:color="auto" w:fill="auto"/>
            <w:vAlign w:val="center"/>
          </w:tcPr>
          <w:p w:rsidR="00563875" w:rsidRPr="00122893" w:rsidRDefault="00563875" w:rsidP="00133151">
            <w:pPr>
              <w:pStyle w:val="TextinTables"/>
              <w:jc w:val="center"/>
            </w:pPr>
            <w:r w:rsidRPr="00122893">
              <w:t>74</w:t>
            </w:r>
          </w:p>
        </w:tc>
        <w:tc>
          <w:tcPr>
            <w:tcW w:w="2010" w:type="dxa"/>
            <w:shd w:val="clear" w:color="auto" w:fill="auto"/>
            <w:vAlign w:val="center"/>
          </w:tcPr>
          <w:p w:rsidR="00563875" w:rsidRPr="00122893" w:rsidRDefault="00563875" w:rsidP="00133151">
            <w:pPr>
              <w:pStyle w:val="TextinTables"/>
              <w:jc w:val="center"/>
            </w:pPr>
            <w:r w:rsidRPr="00122893">
              <w:t>112</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8</w:t>
            </w:r>
          </w:p>
        </w:tc>
        <w:tc>
          <w:tcPr>
            <w:tcW w:w="2253" w:type="dxa"/>
            <w:shd w:val="clear" w:color="auto" w:fill="auto"/>
            <w:vAlign w:val="center"/>
          </w:tcPr>
          <w:p w:rsidR="00563875" w:rsidRPr="00122893" w:rsidRDefault="00563875" w:rsidP="00133151">
            <w:pPr>
              <w:pStyle w:val="TextinTables"/>
              <w:jc w:val="left"/>
            </w:pPr>
            <w:r w:rsidRPr="00122893">
              <w:t>Rainci Donji</w:t>
            </w:r>
          </w:p>
        </w:tc>
        <w:tc>
          <w:tcPr>
            <w:tcW w:w="2280" w:type="dxa"/>
            <w:shd w:val="clear" w:color="auto" w:fill="auto"/>
            <w:vAlign w:val="center"/>
          </w:tcPr>
          <w:p w:rsidR="00563875" w:rsidRPr="00122893" w:rsidRDefault="00563875" w:rsidP="00133151">
            <w:pPr>
              <w:pStyle w:val="TextinTables"/>
              <w:jc w:val="center"/>
            </w:pPr>
            <w:r w:rsidRPr="00122893">
              <w:t>2</w:t>
            </w:r>
          </w:p>
        </w:tc>
        <w:tc>
          <w:tcPr>
            <w:tcW w:w="2010" w:type="dxa"/>
            <w:shd w:val="clear" w:color="auto" w:fill="auto"/>
            <w:vAlign w:val="center"/>
          </w:tcPr>
          <w:p w:rsidR="00563875" w:rsidRPr="00122893" w:rsidRDefault="00563875" w:rsidP="00133151">
            <w:pPr>
              <w:pStyle w:val="TextinTables"/>
              <w:jc w:val="center"/>
            </w:pPr>
            <w:r w:rsidRPr="00122893">
              <w:t>30</w:t>
            </w:r>
          </w:p>
        </w:tc>
        <w:tc>
          <w:tcPr>
            <w:tcW w:w="2010" w:type="dxa"/>
            <w:shd w:val="clear" w:color="auto" w:fill="auto"/>
            <w:vAlign w:val="center"/>
          </w:tcPr>
          <w:p w:rsidR="00563875" w:rsidRPr="00122893" w:rsidRDefault="00563875" w:rsidP="00133151">
            <w:pPr>
              <w:pStyle w:val="TextinTables"/>
              <w:jc w:val="center"/>
            </w:pPr>
            <w:r w:rsidRPr="00122893">
              <w:t>126</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9.</w:t>
            </w:r>
          </w:p>
        </w:tc>
        <w:tc>
          <w:tcPr>
            <w:tcW w:w="2253" w:type="dxa"/>
            <w:shd w:val="clear" w:color="auto" w:fill="auto"/>
            <w:vAlign w:val="center"/>
          </w:tcPr>
          <w:p w:rsidR="00563875" w:rsidRPr="00122893" w:rsidRDefault="00563875" w:rsidP="00133151">
            <w:pPr>
              <w:pStyle w:val="TextinTables"/>
              <w:jc w:val="left"/>
            </w:pPr>
            <w:r w:rsidRPr="00122893">
              <w:t>Miljanovci</w:t>
            </w:r>
          </w:p>
        </w:tc>
        <w:tc>
          <w:tcPr>
            <w:tcW w:w="2280" w:type="dxa"/>
            <w:shd w:val="clear" w:color="auto" w:fill="auto"/>
            <w:vAlign w:val="center"/>
          </w:tcPr>
          <w:p w:rsidR="00563875" w:rsidRPr="00122893" w:rsidRDefault="00563875" w:rsidP="00133151">
            <w:pPr>
              <w:pStyle w:val="TextinTables"/>
              <w:jc w:val="center"/>
            </w:pPr>
            <w:r w:rsidRPr="00122893">
              <w:t>8</w:t>
            </w:r>
          </w:p>
        </w:tc>
        <w:tc>
          <w:tcPr>
            <w:tcW w:w="2010" w:type="dxa"/>
            <w:shd w:val="clear" w:color="auto" w:fill="auto"/>
            <w:vAlign w:val="center"/>
          </w:tcPr>
          <w:p w:rsidR="00563875" w:rsidRPr="00122893" w:rsidRDefault="00563875" w:rsidP="00133151">
            <w:pPr>
              <w:pStyle w:val="TextinTables"/>
              <w:jc w:val="center"/>
            </w:pPr>
            <w:r w:rsidRPr="00122893">
              <w:t>75</w:t>
            </w:r>
          </w:p>
        </w:tc>
        <w:tc>
          <w:tcPr>
            <w:tcW w:w="2010" w:type="dxa"/>
            <w:shd w:val="clear" w:color="auto" w:fill="auto"/>
            <w:vAlign w:val="center"/>
          </w:tcPr>
          <w:p w:rsidR="00563875" w:rsidRPr="00122893" w:rsidRDefault="00563875" w:rsidP="00133151">
            <w:pPr>
              <w:pStyle w:val="TextinTables"/>
              <w:jc w:val="center"/>
            </w:pPr>
            <w:r w:rsidRPr="00122893">
              <w:t>457</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10.</w:t>
            </w:r>
          </w:p>
        </w:tc>
        <w:tc>
          <w:tcPr>
            <w:tcW w:w="2253" w:type="dxa"/>
            <w:shd w:val="clear" w:color="auto" w:fill="auto"/>
            <w:vAlign w:val="center"/>
          </w:tcPr>
          <w:p w:rsidR="00563875" w:rsidRPr="00122893" w:rsidRDefault="00563875" w:rsidP="00133151">
            <w:pPr>
              <w:pStyle w:val="TextinTables"/>
              <w:jc w:val="left"/>
            </w:pPr>
            <w:r w:rsidRPr="00122893">
              <w:t>Dubnica</w:t>
            </w:r>
          </w:p>
        </w:tc>
        <w:tc>
          <w:tcPr>
            <w:tcW w:w="2280" w:type="dxa"/>
            <w:shd w:val="clear" w:color="auto" w:fill="auto"/>
            <w:vAlign w:val="center"/>
          </w:tcPr>
          <w:p w:rsidR="00563875" w:rsidRPr="00122893" w:rsidRDefault="00563875" w:rsidP="00133151">
            <w:pPr>
              <w:pStyle w:val="TextinTables"/>
              <w:jc w:val="center"/>
            </w:pPr>
            <w:r w:rsidRPr="00122893">
              <w:t>8</w:t>
            </w:r>
          </w:p>
        </w:tc>
        <w:tc>
          <w:tcPr>
            <w:tcW w:w="2010" w:type="dxa"/>
            <w:shd w:val="clear" w:color="auto" w:fill="auto"/>
            <w:vAlign w:val="center"/>
          </w:tcPr>
          <w:p w:rsidR="00563875" w:rsidRPr="00122893" w:rsidRDefault="00563875" w:rsidP="00133151">
            <w:pPr>
              <w:pStyle w:val="TextinTables"/>
              <w:jc w:val="center"/>
            </w:pPr>
            <w:r w:rsidRPr="00122893">
              <w:t>135</w:t>
            </w:r>
          </w:p>
        </w:tc>
        <w:tc>
          <w:tcPr>
            <w:tcW w:w="2010" w:type="dxa"/>
            <w:shd w:val="clear" w:color="auto" w:fill="auto"/>
            <w:vAlign w:val="center"/>
          </w:tcPr>
          <w:p w:rsidR="00563875" w:rsidRPr="00122893" w:rsidRDefault="00563875" w:rsidP="00133151">
            <w:pPr>
              <w:pStyle w:val="TextinTables"/>
              <w:jc w:val="center"/>
            </w:pPr>
            <w:r w:rsidRPr="00122893">
              <w:t>130</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11.</w:t>
            </w:r>
          </w:p>
        </w:tc>
        <w:tc>
          <w:tcPr>
            <w:tcW w:w="2253" w:type="dxa"/>
            <w:shd w:val="clear" w:color="auto" w:fill="auto"/>
            <w:vAlign w:val="center"/>
          </w:tcPr>
          <w:p w:rsidR="00563875" w:rsidRPr="00122893" w:rsidRDefault="00563875" w:rsidP="00133151">
            <w:pPr>
              <w:pStyle w:val="TextinTables"/>
              <w:jc w:val="left"/>
            </w:pPr>
            <w:r w:rsidRPr="00122893">
              <w:t>Kalesija Gornja</w:t>
            </w:r>
          </w:p>
        </w:tc>
        <w:tc>
          <w:tcPr>
            <w:tcW w:w="2280" w:type="dxa"/>
            <w:shd w:val="clear" w:color="auto" w:fill="auto"/>
            <w:vAlign w:val="center"/>
          </w:tcPr>
          <w:p w:rsidR="00563875" w:rsidRPr="00122893" w:rsidRDefault="00563875" w:rsidP="00133151">
            <w:pPr>
              <w:pStyle w:val="TextinTables"/>
              <w:jc w:val="center"/>
            </w:pPr>
            <w:r w:rsidRPr="00122893">
              <w:t>4</w:t>
            </w:r>
          </w:p>
        </w:tc>
        <w:tc>
          <w:tcPr>
            <w:tcW w:w="2010" w:type="dxa"/>
            <w:shd w:val="clear" w:color="auto" w:fill="auto"/>
            <w:vAlign w:val="center"/>
          </w:tcPr>
          <w:p w:rsidR="00563875" w:rsidRPr="00122893" w:rsidRDefault="00563875" w:rsidP="00133151">
            <w:pPr>
              <w:pStyle w:val="TextinTables"/>
              <w:jc w:val="center"/>
            </w:pPr>
            <w:r w:rsidRPr="00122893">
              <w:t>86</w:t>
            </w:r>
          </w:p>
        </w:tc>
        <w:tc>
          <w:tcPr>
            <w:tcW w:w="2010" w:type="dxa"/>
            <w:shd w:val="clear" w:color="auto" w:fill="auto"/>
            <w:vAlign w:val="center"/>
          </w:tcPr>
          <w:p w:rsidR="00563875" w:rsidRPr="00122893" w:rsidRDefault="00563875" w:rsidP="00133151">
            <w:pPr>
              <w:pStyle w:val="TextinTables"/>
              <w:jc w:val="center"/>
            </w:pPr>
            <w:r w:rsidRPr="00122893">
              <w:t>477</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12.</w:t>
            </w:r>
          </w:p>
        </w:tc>
        <w:tc>
          <w:tcPr>
            <w:tcW w:w="2253" w:type="dxa"/>
            <w:shd w:val="clear" w:color="auto" w:fill="auto"/>
            <w:vAlign w:val="center"/>
          </w:tcPr>
          <w:p w:rsidR="00563875" w:rsidRPr="00122893" w:rsidRDefault="00563875" w:rsidP="00133151">
            <w:pPr>
              <w:pStyle w:val="TextinTables"/>
              <w:jc w:val="left"/>
            </w:pPr>
            <w:r w:rsidRPr="00122893">
              <w:t>Memići</w:t>
            </w:r>
          </w:p>
        </w:tc>
        <w:tc>
          <w:tcPr>
            <w:tcW w:w="2280" w:type="dxa"/>
            <w:shd w:val="clear" w:color="auto" w:fill="auto"/>
            <w:vAlign w:val="center"/>
          </w:tcPr>
          <w:p w:rsidR="00563875" w:rsidRPr="00122893" w:rsidRDefault="00563875" w:rsidP="00133151">
            <w:pPr>
              <w:pStyle w:val="TextinTables"/>
              <w:jc w:val="center"/>
            </w:pPr>
            <w:r w:rsidRPr="00122893">
              <w:t>3</w:t>
            </w:r>
          </w:p>
        </w:tc>
        <w:tc>
          <w:tcPr>
            <w:tcW w:w="2010" w:type="dxa"/>
            <w:shd w:val="clear" w:color="auto" w:fill="auto"/>
            <w:vAlign w:val="center"/>
          </w:tcPr>
          <w:p w:rsidR="00563875" w:rsidRPr="00122893" w:rsidRDefault="00563875" w:rsidP="00133151">
            <w:pPr>
              <w:pStyle w:val="TextinTables"/>
              <w:jc w:val="center"/>
            </w:pPr>
            <w:r w:rsidRPr="00122893">
              <w:t>40</w:t>
            </w:r>
          </w:p>
        </w:tc>
        <w:tc>
          <w:tcPr>
            <w:tcW w:w="2010" w:type="dxa"/>
            <w:shd w:val="clear" w:color="auto" w:fill="auto"/>
            <w:vAlign w:val="center"/>
          </w:tcPr>
          <w:p w:rsidR="00563875" w:rsidRPr="00122893" w:rsidRDefault="00563875" w:rsidP="00133151">
            <w:pPr>
              <w:pStyle w:val="TextinTables"/>
              <w:jc w:val="center"/>
            </w:pPr>
            <w:r w:rsidRPr="00122893">
              <w:t>470</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13.</w:t>
            </w:r>
          </w:p>
        </w:tc>
        <w:tc>
          <w:tcPr>
            <w:tcW w:w="2253" w:type="dxa"/>
            <w:shd w:val="clear" w:color="auto" w:fill="auto"/>
            <w:vAlign w:val="center"/>
          </w:tcPr>
          <w:p w:rsidR="00563875" w:rsidRPr="00122893" w:rsidRDefault="00563875" w:rsidP="00133151">
            <w:pPr>
              <w:pStyle w:val="TextinTables"/>
              <w:jc w:val="left"/>
            </w:pPr>
            <w:r w:rsidRPr="00122893">
              <w:t>Brda</w:t>
            </w:r>
          </w:p>
        </w:tc>
        <w:tc>
          <w:tcPr>
            <w:tcW w:w="2280" w:type="dxa"/>
            <w:shd w:val="clear" w:color="auto" w:fill="auto"/>
            <w:vAlign w:val="center"/>
          </w:tcPr>
          <w:p w:rsidR="00563875" w:rsidRPr="00122893" w:rsidRDefault="00563875" w:rsidP="00133151">
            <w:pPr>
              <w:pStyle w:val="TextinTables"/>
              <w:jc w:val="center"/>
            </w:pPr>
            <w:r w:rsidRPr="00122893">
              <w:t>5</w:t>
            </w:r>
          </w:p>
        </w:tc>
        <w:tc>
          <w:tcPr>
            <w:tcW w:w="2010" w:type="dxa"/>
            <w:shd w:val="clear" w:color="auto" w:fill="auto"/>
            <w:vAlign w:val="center"/>
          </w:tcPr>
          <w:p w:rsidR="00563875" w:rsidRPr="00122893" w:rsidRDefault="00563875" w:rsidP="00133151">
            <w:pPr>
              <w:pStyle w:val="TextinTables"/>
              <w:jc w:val="center"/>
            </w:pPr>
            <w:r w:rsidRPr="00122893">
              <w:t>290</w:t>
            </w:r>
          </w:p>
        </w:tc>
        <w:tc>
          <w:tcPr>
            <w:tcW w:w="2010" w:type="dxa"/>
            <w:shd w:val="clear" w:color="auto" w:fill="auto"/>
            <w:vAlign w:val="center"/>
          </w:tcPr>
          <w:p w:rsidR="00563875" w:rsidRPr="00122893" w:rsidRDefault="00563875" w:rsidP="00133151">
            <w:pPr>
              <w:pStyle w:val="TextinTables"/>
              <w:jc w:val="center"/>
            </w:pPr>
            <w:r w:rsidRPr="00122893">
              <w:t>160</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14.</w:t>
            </w:r>
          </w:p>
        </w:tc>
        <w:tc>
          <w:tcPr>
            <w:tcW w:w="2253" w:type="dxa"/>
            <w:shd w:val="clear" w:color="auto" w:fill="auto"/>
            <w:vAlign w:val="center"/>
          </w:tcPr>
          <w:p w:rsidR="00563875" w:rsidRPr="00122893" w:rsidRDefault="00563875" w:rsidP="00133151">
            <w:pPr>
              <w:pStyle w:val="TextinTables"/>
              <w:jc w:val="left"/>
            </w:pPr>
            <w:r w:rsidRPr="00122893">
              <w:t>Gojčin</w:t>
            </w:r>
          </w:p>
        </w:tc>
        <w:tc>
          <w:tcPr>
            <w:tcW w:w="2280" w:type="dxa"/>
            <w:shd w:val="clear" w:color="auto" w:fill="auto"/>
            <w:vAlign w:val="center"/>
          </w:tcPr>
          <w:p w:rsidR="00563875" w:rsidRPr="00122893" w:rsidRDefault="00563875" w:rsidP="00133151">
            <w:pPr>
              <w:pStyle w:val="TextinTables"/>
              <w:jc w:val="center"/>
            </w:pPr>
            <w:r w:rsidRPr="00122893">
              <w:t>5</w:t>
            </w:r>
          </w:p>
        </w:tc>
        <w:tc>
          <w:tcPr>
            <w:tcW w:w="2010" w:type="dxa"/>
            <w:shd w:val="clear" w:color="auto" w:fill="auto"/>
            <w:vAlign w:val="center"/>
          </w:tcPr>
          <w:p w:rsidR="00563875" w:rsidRPr="00122893" w:rsidRDefault="00563875" w:rsidP="00133151">
            <w:pPr>
              <w:pStyle w:val="TextinTables"/>
              <w:jc w:val="center"/>
            </w:pPr>
            <w:r w:rsidRPr="00122893">
              <w:t>60</w:t>
            </w:r>
          </w:p>
        </w:tc>
        <w:tc>
          <w:tcPr>
            <w:tcW w:w="2010" w:type="dxa"/>
            <w:shd w:val="clear" w:color="auto" w:fill="auto"/>
            <w:vAlign w:val="center"/>
          </w:tcPr>
          <w:p w:rsidR="00563875" w:rsidRPr="00122893" w:rsidRDefault="00563875" w:rsidP="00133151">
            <w:pPr>
              <w:pStyle w:val="TextinTables"/>
              <w:jc w:val="center"/>
            </w:pPr>
            <w:r w:rsidRPr="00122893">
              <w:t>190</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15.</w:t>
            </w:r>
          </w:p>
        </w:tc>
        <w:tc>
          <w:tcPr>
            <w:tcW w:w="2253" w:type="dxa"/>
            <w:shd w:val="clear" w:color="auto" w:fill="auto"/>
            <w:vAlign w:val="center"/>
          </w:tcPr>
          <w:p w:rsidR="00563875" w:rsidRPr="00122893" w:rsidRDefault="00563875" w:rsidP="00133151">
            <w:pPr>
              <w:pStyle w:val="TextinTables"/>
              <w:jc w:val="left"/>
            </w:pPr>
            <w:r w:rsidRPr="00122893">
              <w:t>Bulatovci</w:t>
            </w:r>
          </w:p>
        </w:tc>
        <w:tc>
          <w:tcPr>
            <w:tcW w:w="2280" w:type="dxa"/>
            <w:shd w:val="clear" w:color="auto" w:fill="auto"/>
            <w:vAlign w:val="center"/>
          </w:tcPr>
          <w:p w:rsidR="00563875" w:rsidRPr="00122893" w:rsidRDefault="00563875" w:rsidP="00133151">
            <w:pPr>
              <w:pStyle w:val="TextinTables"/>
              <w:jc w:val="center"/>
            </w:pPr>
            <w:r w:rsidRPr="00122893">
              <w:t>1</w:t>
            </w:r>
          </w:p>
        </w:tc>
        <w:tc>
          <w:tcPr>
            <w:tcW w:w="2010" w:type="dxa"/>
            <w:shd w:val="clear" w:color="auto" w:fill="auto"/>
            <w:vAlign w:val="center"/>
          </w:tcPr>
          <w:p w:rsidR="00563875" w:rsidRPr="00122893" w:rsidRDefault="00563875" w:rsidP="00133151">
            <w:pPr>
              <w:pStyle w:val="TextinTables"/>
              <w:jc w:val="center"/>
            </w:pPr>
            <w:r w:rsidRPr="00122893">
              <w:t>58</w:t>
            </w:r>
          </w:p>
        </w:tc>
        <w:tc>
          <w:tcPr>
            <w:tcW w:w="2010" w:type="dxa"/>
            <w:shd w:val="clear" w:color="auto" w:fill="auto"/>
            <w:vAlign w:val="center"/>
          </w:tcPr>
          <w:p w:rsidR="00563875" w:rsidRPr="00122893" w:rsidRDefault="00563875" w:rsidP="00133151">
            <w:pPr>
              <w:pStyle w:val="TextinTables"/>
              <w:jc w:val="center"/>
            </w:pPr>
            <w:r w:rsidRPr="00122893">
              <w:t>170</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16.</w:t>
            </w:r>
          </w:p>
        </w:tc>
        <w:tc>
          <w:tcPr>
            <w:tcW w:w="2253" w:type="dxa"/>
            <w:shd w:val="clear" w:color="auto" w:fill="auto"/>
            <w:vAlign w:val="center"/>
          </w:tcPr>
          <w:p w:rsidR="00563875" w:rsidRPr="00122893" w:rsidRDefault="00563875" w:rsidP="00133151">
            <w:pPr>
              <w:pStyle w:val="TextinTables"/>
              <w:jc w:val="left"/>
            </w:pPr>
            <w:r w:rsidRPr="00122893">
              <w:t>Jajići</w:t>
            </w:r>
          </w:p>
        </w:tc>
        <w:tc>
          <w:tcPr>
            <w:tcW w:w="2280" w:type="dxa"/>
            <w:shd w:val="clear" w:color="auto" w:fill="auto"/>
            <w:vAlign w:val="center"/>
          </w:tcPr>
          <w:p w:rsidR="00563875" w:rsidRPr="00122893" w:rsidRDefault="00563875" w:rsidP="00133151">
            <w:pPr>
              <w:pStyle w:val="TextinTables"/>
              <w:jc w:val="center"/>
            </w:pPr>
            <w:r w:rsidRPr="00122893">
              <w:t>1</w:t>
            </w:r>
          </w:p>
        </w:tc>
        <w:tc>
          <w:tcPr>
            <w:tcW w:w="2010" w:type="dxa"/>
            <w:shd w:val="clear" w:color="auto" w:fill="auto"/>
            <w:vAlign w:val="center"/>
          </w:tcPr>
          <w:p w:rsidR="00563875" w:rsidRPr="00122893" w:rsidRDefault="00563875" w:rsidP="00133151">
            <w:pPr>
              <w:pStyle w:val="TextinTables"/>
              <w:jc w:val="center"/>
            </w:pPr>
            <w:r w:rsidRPr="00122893">
              <w:t>70</w:t>
            </w:r>
          </w:p>
        </w:tc>
        <w:tc>
          <w:tcPr>
            <w:tcW w:w="2010" w:type="dxa"/>
            <w:shd w:val="clear" w:color="auto" w:fill="auto"/>
            <w:vAlign w:val="center"/>
          </w:tcPr>
          <w:p w:rsidR="00563875" w:rsidRPr="00122893" w:rsidRDefault="00563875" w:rsidP="00133151">
            <w:pPr>
              <w:pStyle w:val="TextinTables"/>
              <w:jc w:val="center"/>
            </w:pPr>
            <w:r w:rsidRPr="00122893">
              <w:t>200</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17.</w:t>
            </w:r>
          </w:p>
        </w:tc>
        <w:tc>
          <w:tcPr>
            <w:tcW w:w="2253" w:type="dxa"/>
            <w:shd w:val="clear" w:color="auto" w:fill="auto"/>
            <w:vAlign w:val="center"/>
          </w:tcPr>
          <w:p w:rsidR="00563875" w:rsidRPr="00122893" w:rsidRDefault="00563875" w:rsidP="00133151">
            <w:pPr>
              <w:pStyle w:val="TextinTables"/>
              <w:jc w:val="left"/>
            </w:pPr>
            <w:r w:rsidRPr="00122893">
              <w:t>Tojšići</w:t>
            </w:r>
          </w:p>
        </w:tc>
        <w:tc>
          <w:tcPr>
            <w:tcW w:w="2280" w:type="dxa"/>
            <w:shd w:val="clear" w:color="auto" w:fill="auto"/>
            <w:vAlign w:val="center"/>
          </w:tcPr>
          <w:p w:rsidR="00563875" w:rsidRPr="00122893" w:rsidRDefault="00563875" w:rsidP="00133151">
            <w:pPr>
              <w:pStyle w:val="TextinTables"/>
              <w:jc w:val="center"/>
            </w:pPr>
            <w:r w:rsidRPr="00122893">
              <w:t>23</w:t>
            </w:r>
          </w:p>
        </w:tc>
        <w:tc>
          <w:tcPr>
            <w:tcW w:w="2010" w:type="dxa"/>
            <w:shd w:val="clear" w:color="auto" w:fill="auto"/>
            <w:vAlign w:val="center"/>
          </w:tcPr>
          <w:p w:rsidR="00563875" w:rsidRPr="00122893" w:rsidRDefault="00563875" w:rsidP="00133151">
            <w:pPr>
              <w:pStyle w:val="TextinTables"/>
              <w:jc w:val="center"/>
            </w:pPr>
            <w:r w:rsidRPr="00122893">
              <w:t>257</w:t>
            </w:r>
          </w:p>
        </w:tc>
        <w:tc>
          <w:tcPr>
            <w:tcW w:w="2010" w:type="dxa"/>
            <w:shd w:val="clear" w:color="auto" w:fill="auto"/>
            <w:vAlign w:val="center"/>
          </w:tcPr>
          <w:p w:rsidR="00563875" w:rsidRPr="00122893" w:rsidRDefault="00563875" w:rsidP="00133151">
            <w:pPr>
              <w:pStyle w:val="TextinTables"/>
              <w:jc w:val="center"/>
            </w:pPr>
            <w:r w:rsidRPr="00122893">
              <w:t>458</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18.</w:t>
            </w:r>
          </w:p>
        </w:tc>
        <w:tc>
          <w:tcPr>
            <w:tcW w:w="2253" w:type="dxa"/>
            <w:shd w:val="clear" w:color="auto" w:fill="auto"/>
            <w:vAlign w:val="center"/>
          </w:tcPr>
          <w:p w:rsidR="00563875" w:rsidRPr="00122893" w:rsidRDefault="00563875" w:rsidP="00133151">
            <w:pPr>
              <w:pStyle w:val="TextinTables"/>
              <w:jc w:val="left"/>
            </w:pPr>
            <w:r w:rsidRPr="00122893">
              <w:t>Kalesija Centar</w:t>
            </w:r>
          </w:p>
        </w:tc>
        <w:tc>
          <w:tcPr>
            <w:tcW w:w="2280" w:type="dxa"/>
            <w:shd w:val="clear" w:color="auto" w:fill="auto"/>
            <w:vAlign w:val="center"/>
          </w:tcPr>
          <w:p w:rsidR="00563875" w:rsidRPr="00122893" w:rsidRDefault="00563875" w:rsidP="00133151">
            <w:pPr>
              <w:pStyle w:val="TextinTables"/>
              <w:jc w:val="center"/>
            </w:pPr>
            <w:r w:rsidRPr="00122893">
              <w:t>-</w:t>
            </w:r>
          </w:p>
        </w:tc>
        <w:tc>
          <w:tcPr>
            <w:tcW w:w="2010" w:type="dxa"/>
            <w:shd w:val="clear" w:color="auto" w:fill="auto"/>
            <w:vAlign w:val="center"/>
          </w:tcPr>
          <w:p w:rsidR="00563875" w:rsidRPr="00122893" w:rsidRDefault="00563875" w:rsidP="00133151">
            <w:pPr>
              <w:pStyle w:val="TextinTables"/>
              <w:jc w:val="center"/>
            </w:pPr>
            <w:r w:rsidRPr="00122893">
              <w:t>-</w:t>
            </w:r>
          </w:p>
        </w:tc>
        <w:tc>
          <w:tcPr>
            <w:tcW w:w="2010" w:type="dxa"/>
            <w:shd w:val="clear" w:color="auto" w:fill="auto"/>
            <w:vAlign w:val="center"/>
          </w:tcPr>
          <w:p w:rsidR="00563875" w:rsidRPr="00122893" w:rsidRDefault="00563875" w:rsidP="00133151">
            <w:pPr>
              <w:pStyle w:val="TextinTables"/>
              <w:jc w:val="center"/>
            </w:pPr>
            <w:r w:rsidRPr="00122893">
              <w:t>-</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19.</w:t>
            </w:r>
          </w:p>
        </w:tc>
        <w:tc>
          <w:tcPr>
            <w:tcW w:w="2253" w:type="dxa"/>
            <w:shd w:val="clear" w:color="auto" w:fill="auto"/>
            <w:vAlign w:val="center"/>
          </w:tcPr>
          <w:p w:rsidR="00563875" w:rsidRPr="00122893" w:rsidRDefault="00563875" w:rsidP="00133151">
            <w:pPr>
              <w:pStyle w:val="TextinTables"/>
              <w:jc w:val="left"/>
            </w:pPr>
            <w:r w:rsidRPr="00122893">
              <w:t>Jeginov Lug</w:t>
            </w:r>
          </w:p>
        </w:tc>
        <w:tc>
          <w:tcPr>
            <w:tcW w:w="2280" w:type="dxa"/>
            <w:shd w:val="clear" w:color="auto" w:fill="auto"/>
            <w:vAlign w:val="center"/>
          </w:tcPr>
          <w:p w:rsidR="00563875" w:rsidRPr="00122893" w:rsidRDefault="00563875" w:rsidP="00133151">
            <w:pPr>
              <w:pStyle w:val="TextinTables"/>
              <w:jc w:val="center"/>
            </w:pPr>
            <w:r w:rsidRPr="00122893">
              <w:t>-</w:t>
            </w:r>
          </w:p>
        </w:tc>
        <w:tc>
          <w:tcPr>
            <w:tcW w:w="2010" w:type="dxa"/>
            <w:shd w:val="clear" w:color="auto" w:fill="auto"/>
            <w:vAlign w:val="center"/>
          </w:tcPr>
          <w:p w:rsidR="00563875" w:rsidRPr="00122893" w:rsidRDefault="00563875" w:rsidP="00133151">
            <w:pPr>
              <w:pStyle w:val="TextinTables"/>
              <w:jc w:val="center"/>
            </w:pPr>
            <w:r w:rsidRPr="00122893">
              <w:t>-</w:t>
            </w:r>
          </w:p>
        </w:tc>
        <w:tc>
          <w:tcPr>
            <w:tcW w:w="2010" w:type="dxa"/>
            <w:shd w:val="clear" w:color="auto" w:fill="auto"/>
            <w:vAlign w:val="center"/>
          </w:tcPr>
          <w:p w:rsidR="00563875" w:rsidRPr="00122893" w:rsidRDefault="00563875" w:rsidP="00133151">
            <w:pPr>
              <w:pStyle w:val="TextinTables"/>
              <w:jc w:val="center"/>
            </w:pPr>
            <w:r w:rsidRPr="00122893">
              <w:t>-</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20.</w:t>
            </w:r>
          </w:p>
        </w:tc>
        <w:tc>
          <w:tcPr>
            <w:tcW w:w="2253" w:type="dxa"/>
            <w:shd w:val="clear" w:color="auto" w:fill="auto"/>
            <w:vAlign w:val="center"/>
          </w:tcPr>
          <w:p w:rsidR="00563875" w:rsidRPr="00122893" w:rsidRDefault="00563875" w:rsidP="00133151">
            <w:pPr>
              <w:pStyle w:val="TextinTables"/>
              <w:jc w:val="left"/>
            </w:pPr>
            <w:r w:rsidRPr="00122893">
              <w:t>Prnjavor</w:t>
            </w:r>
          </w:p>
        </w:tc>
        <w:tc>
          <w:tcPr>
            <w:tcW w:w="2280" w:type="dxa"/>
            <w:shd w:val="clear" w:color="auto" w:fill="auto"/>
            <w:vAlign w:val="center"/>
          </w:tcPr>
          <w:p w:rsidR="00563875" w:rsidRPr="00122893" w:rsidRDefault="00563875" w:rsidP="00133151">
            <w:pPr>
              <w:pStyle w:val="TextinTables"/>
              <w:jc w:val="center"/>
            </w:pPr>
            <w:r w:rsidRPr="00122893">
              <w:t>-</w:t>
            </w:r>
          </w:p>
        </w:tc>
        <w:tc>
          <w:tcPr>
            <w:tcW w:w="2010" w:type="dxa"/>
            <w:shd w:val="clear" w:color="auto" w:fill="auto"/>
            <w:vAlign w:val="center"/>
          </w:tcPr>
          <w:p w:rsidR="00563875" w:rsidRPr="00122893" w:rsidRDefault="00563875" w:rsidP="00133151">
            <w:pPr>
              <w:pStyle w:val="TextinTables"/>
              <w:jc w:val="center"/>
            </w:pPr>
            <w:r w:rsidRPr="00122893">
              <w:t>-</w:t>
            </w:r>
          </w:p>
        </w:tc>
        <w:tc>
          <w:tcPr>
            <w:tcW w:w="2010" w:type="dxa"/>
            <w:shd w:val="clear" w:color="auto" w:fill="auto"/>
            <w:vAlign w:val="center"/>
          </w:tcPr>
          <w:p w:rsidR="00563875" w:rsidRPr="00122893" w:rsidRDefault="00563875" w:rsidP="00133151">
            <w:pPr>
              <w:pStyle w:val="TextinTables"/>
              <w:jc w:val="center"/>
            </w:pPr>
            <w:r w:rsidRPr="00122893">
              <w:t>-</w:t>
            </w:r>
          </w:p>
        </w:tc>
      </w:tr>
      <w:tr w:rsidR="00563875" w:rsidRPr="00122893" w:rsidTr="005F747A">
        <w:trPr>
          <w:jc w:val="center"/>
        </w:trPr>
        <w:tc>
          <w:tcPr>
            <w:tcW w:w="717" w:type="dxa"/>
            <w:shd w:val="clear" w:color="auto" w:fill="auto"/>
            <w:vAlign w:val="center"/>
          </w:tcPr>
          <w:p w:rsidR="00563875" w:rsidRPr="00122893" w:rsidRDefault="00563875" w:rsidP="00133151">
            <w:pPr>
              <w:pStyle w:val="TextinTables"/>
              <w:jc w:val="center"/>
            </w:pPr>
            <w:r w:rsidRPr="00122893">
              <w:t>21.</w:t>
            </w:r>
          </w:p>
        </w:tc>
        <w:tc>
          <w:tcPr>
            <w:tcW w:w="2253" w:type="dxa"/>
            <w:shd w:val="clear" w:color="auto" w:fill="auto"/>
            <w:vAlign w:val="center"/>
          </w:tcPr>
          <w:p w:rsidR="00563875" w:rsidRPr="00122893" w:rsidRDefault="00563875" w:rsidP="00133151">
            <w:pPr>
              <w:pStyle w:val="TextinTables"/>
              <w:jc w:val="left"/>
            </w:pPr>
            <w:r w:rsidRPr="00122893">
              <w:t>Zates</w:t>
            </w:r>
          </w:p>
        </w:tc>
        <w:tc>
          <w:tcPr>
            <w:tcW w:w="2280" w:type="dxa"/>
            <w:shd w:val="clear" w:color="auto" w:fill="auto"/>
            <w:vAlign w:val="center"/>
          </w:tcPr>
          <w:p w:rsidR="00563875" w:rsidRPr="00122893" w:rsidRDefault="00563875" w:rsidP="00133151">
            <w:pPr>
              <w:pStyle w:val="TextinTables"/>
              <w:jc w:val="center"/>
            </w:pPr>
            <w:r w:rsidRPr="00122893">
              <w:t>-</w:t>
            </w:r>
          </w:p>
        </w:tc>
        <w:tc>
          <w:tcPr>
            <w:tcW w:w="2010" w:type="dxa"/>
            <w:shd w:val="clear" w:color="auto" w:fill="auto"/>
            <w:vAlign w:val="center"/>
          </w:tcPr>
          <w:p w:rsidR="00563875" w:rsidRPr="00122893" w:rsidRDefault="00563875" w:rsidP="00133151">
            <w:pPr>
              <w:pStyle w:val="TextinTables"/>
              <w:jc w:val="center"/>
            </w:pPr>
            <w:r w:rsidRPr="00122893">
              <w:t>-</w:t>
            </w:r>
          </w:p>
        </w:tc>
        <w:tc>
          <w:tcPr>
            <w:tcW w:w="2010" w:type="dxa"/>
            <w:shd w:val="clear" w:color="auto" w:fill="auto"/>
            <w:vAlign w:val="center"/>
          </w:tcPr>
          <w:p w:rsidR="00563875" w:rsidRPr="00122893" w:rsidRDefault="00563875" w:rsidP="00133151">
            <w:pPr>
              <w:pStyle w:val="TextinTables"/>
              <w:jc w:val="center"/>
            </w:pPr>
            <w:r w:rsidRPr="00122893">
              <w:t>-</w:t>
            </w:r>
          </w:p>
        </w:tc>
      </w:tr>
      <w:tr w:rsidR="00563875" w:rsidRPr="007B2938" w:rsidTr="005F747A">
        <w:trPr>
          <w:jc w:val="center"/>
        </w:trPr>
        <w:tc>
          <w:tcPr>
            <w:tcW w:w="2970" w:type="dxa"/>
            <w:gridSpan w:val="2"/>
            <w:shd w:val="clear" w:color="auto" w:fill="D9D9D9" w:themeFill="background1" w:themeFillShade="D9"/>
            <w:vAlign w:val="center"/>
          </w:tcPr>
          <w:p w:rsidR="00563875" w:rsidRPr="007B2938" w:rsidRDefault="00563875" w:rsidP="00133151">
            <w:pPr>
              <w:pStyle w:val="TextinTables"/>
              <w:jc w:val="left"/>
              <w:rPr>
                <w:b/>
              </w:rPr>
            </w:pPr>
            <w:r w:rsidRPr="007B2938">
              <w:rPr>
                <w:b/>
              </w:rPr>
              <w:t>UKUPNO</w:t>
            </w:r>
          </w:p>
        </w:tc>
        <w:tc>
          <w:tcPr>
            <w:tcW w:w="2280" w:type="dxa"/>
            <w:shd w:val="clear" w:color="auto" w:fill="D9D9D9" w:themeFill="background1" w:themeFillShade="D9"/>
            <w:vAlign w:val="center"/>
          </w:tcPr>
          <w:p w:rsidR="00563875" w:rsidRPr="007B2938" w:rsidRDefault="00563875" w:rsidP="00133151">
            <w:pPr>
              <w:pStyle w:val="TextinTables"/>
              <w:jc w:val="center"/>
              <w:rPr>
                <w:b/>
              </w:rPr>
            </w:pPr>
            <w:r w:rsidRPr="007B2938">
              <w:rPr>
                <w:b/>
              </w:rPr>
              <w:t>92</w:t>
            </w:r>
          </w:p>
        </w:tc>
        <w:tc>
          <w:tcPr>
            <w:tcW w:w="2010" w:type="dxa"/>
            <w:shd w:val="clear" w:color="auto" w:fill="D9D9D9" w:themeFill="background1" w:themeFillShade="D9"/>
            <w:vAlign w:val="center"/>
          </w:tcPr>
          <w:p w:rsidR="00563875" w:rsidRPr="007B2938" w:rsidRDefault="00563875" w:rsidP="00133151">
            <w:pPr>
              <w:pStyle w:val="TextinTables"/>
              <w:jc w:val="center"/>
              <w:rPr>
                <w:b/>
              </w:rPr>
            </w:pPr>
            <w:r w:rsidRPr="007B2938">
              <w:rPr>
                <w:b/>
              </w:rPr>
              <w:t>1774</w:t>
            </w:r>
          </w:p>
        </w:tc>
        <w:tc>
          <w:tcPr>
            <w:tcW w:w="2010" w:type="dxa"/>
            <w:shd w:val="clear" w:color="auto" w:fill="D9D9D9" w:themeFill="background1" w:themeFillShade="D9"/>
            <w:vAlign w:val="center"/>
          </w:tcPr>
          <w:p w:rsidR="00563875" w:rsidRPr="007B2938" w:rsidRDefault="00563875" w:rsidP="00133151">
            <w:pPr>
              <w:pStyle w:val="TextinTables"/>
              <w:jc w:val="center"/>
              <w:rPr>
                <w:b/>
              </w:rPr>
            </w:pPr>
            <w:r w:rsidRPr="007B2938">
              <w:rPr>
                <w:b/>
              </w:rPr>
              <w:t>5321</w:t>
            </w:r>
          </w:p>
        </w:tc>
      </w:tr>
    </w:tbl>
    <w:p w:rsidR="00563875" w:rsidRDefault="00563875" w:rsidP="00092E44">
      <w:pPr>
        <w:pStyle w:val="Izvorpodataka"/>
      </w:pPr>
      <w:r w:rsidRPr="007B2938">
        <w:t>Izvor: Služba za komunalne poslove i civilnu zaštit</w:t>
      </w:r>
      <w:r>
        <w:t>u</w:t>
      </w:r>
    </w:p>
    <w:p w:rsidR="00D032DC" w:rsidRPr="00F57011" w:rsidRDefault="00A5770E" w:rsidP="00D032DC">
      <w:r w:rsidRPr="0017088B">
        <w:t xml:space="preserve">Kontinuiranim dogradnjama vodovodne mreže </w:t>
      </w:r>
      <w:r>
        <w:t xml:space="preserve">postojeći </w:t>
      </w:r>
      <w:r w:rsidRPr="0017088B">
        <w:t>sistem je zanovljen i dosta pouz</w:t>
      </w:r>
      <w:r>
        <w:t xml:space="preserve">dan, te su gubici </w:t>
      </w:r>
      <w:r w:rsidRPr="00E36817">
        <w:t>svedeni na prihvatljivu mjeru.</w:t>
      </w:r>
      <w:r w:rsidR="00D032DC" w:rsidRPr="00E36817">
        <w:t xml:space="preserve"> </w:t>
      </w:r>
      <w:r w:rsidR="00E36817" w:rsidRPr="00E36817">
        <w:t>Gubici</w:t>
      </w:r>
      <w:r w:rsidR="000518DD" w:rsidRPr="00E36817">
        <w:t xml:space="preserve"> u 2017. g</w:t>
      </w:r>
      <w:r w:rsidR="00D032DC" w:rsidRPr="00E36817">
        <w:t>odini iznosili su oko 37%. Nabavkom uređaja za detekciju kvarova (geofon), ugradnjom zonskih mjerača protoka</w:t>
      </w:r>
      <w:r w:rsidR="00D032DC" w:rsidRPr="00E36817">
        <w:rPr>
          <w:shd w:val="clear" w:color="auto" w:fill="FFFFFF"/>
        </w:rPr>
        <w:t xml:space="preserve"> sa data loggerima značajno će se povećati opremljenost preduzeća za upravljanje gubicima. Javni sistem za vodosnabdijevanje se kontinuirano širi i povećava se broj korisnika (priključaka) na vodovodnoj mreži, tako da je trenutna pokrivenost javnim sistemom za vodosnabdijevanje oko 57 %.</w:t>
      </w:r>
    </w:p>
    <w:p w:rsidR="00270260" w:rsidRPr="0017088B" w:rsidRDefault="00D032DC" w:rsidP="00750FA5">
      <w:pPr>
        <w:rPr>
          <w:rFonts w:eastAsia="Times New Roman"/>
          <w:kern w:val="1"/>
          <w:lang w:val="hr-HR" w:eastAsia="hi-IN" w:bidi="hi-IN"/>
        </w:rPr>
      </w:pPr>
      <w:r>
        <w:t xml:space="preserve"> </w:t>
      </w:r>
      <w:r w:rsidR="00A5770E" w:rsidRPr="0017088B">
        <w:t xml:space="preserve"> </w:t>
      </w:r>
      <w:r w:rsidR="00A5770E">
        <w:t>Međutim, r</w:t>
      </w:r>
      <w:r w:rsidR="00A5770E" w:rsidRPr="0017088B">
        <w:t xml:space="preserve">edukcije su se primjenjivale </w:t>
      </w:r>
      <w:r w:rsidR="00A5770E">
        <w:t>u toku</w:t>
      </w:r>
      <w:r w:rsidR="00A5770E" w:rsidRPr="0017088B">
        <w:t xml:space="preserve"> sušnih godina</w:t>
      </w:r>
      <w:r w:rsidR="00A5770E">
        <w:t xml:space="preserve"> u proteklom periodu,</w:t>
      </w:r>
      <w:r w:rsidR="00A5770E" w:rsidRPr="0017088B">
        <w:t xml:space="preserve"> jer se nije radilo na proširenju vode na zahvatu. </w:t>
      </w:r>
      <w:r w:rsidR="00A5770E">
        <w:t xml:space="preserve">Kontinuirano i pouzdano vodosnabdijevanje postojećih korisnika, kao i </w:t>
      </w:r>
      <w:r w:rsidR="00A5770E">
        <w:lastRenderedPageBreak/>
        <w:t xml:space="preserve">proširenje mreže javnog vodosnabdijevanja ograničeno je usljed nedovoljnih količina vode. </w:t>
      </w:r>
      <w:r w:rsidR="0017088B" w:rsidRPr="0094519D">
        <w:rPr>
          <w:rFonts w:eastAsia="Times New Roman"/>
          <w:color w:val="000000"/>
          <w:kern w:val="1"/>
          <w:lang w:val="hr-HR" w:eastAsia="ar-SA"/>
        </w:rPr>
        <w:t>Postojeća izvorišta u općini Kalesija su, uglavnom, isko</w:t>
      </w:r>
      <w:r w:rsidR="00270260">
        <w:rPr>
          <w:rFonts w:eastAsia="Times New Roman"/>
          <w:color w:val="000000"/>
          <w:kern w:val="1"/>
          <w:lang w:val="hr-HR" w:eastAsia="ar-SA"/>
        </w:rPr>
        <w:t>rištena i nedovoljno kvalitetna. U</w:t>
      </w:r>
      <w:r w:rsidR="00270260" w:rsidRPr="0017088B">
        <w:t xml:space="preserve"> toku 2016. godine općina je naručila istražne radove na Krušiku sa ciljem obezbjeđenja novih količina</w:t>
      </w:r>
      <w:r w:rsidR="00270260" w:rsidRPr="0017088B">
        <w:rPr>
          <w:rFonts w:eastAsia="Times New Roman"/>
          <w:kern w:val="1"/>
          <w:lang w:val="hr-HR" w:eastAsia="hi-IN" w:bidi="hi-IN"/>
        </w:rPr>
        <w:t xml:space="preserve"> vode.</w:t>
      </w:r>
      <w:r w:rsidR="00270260">
        <w:rPr>
          <w:rFonts w:eastAsia="Times New Roman"/>
          <w:kern w:val="1"/>
          <w:lang w:val="hr-HR" w:eastAsia="hi-IN" w:bidi="hi-IN"/>
        </w:rPr>
        <w:t xml:space="preserve"> Istraživanja su ispunila cilj i</w:t>
      </w:r>
      <w:r w:rsidR="00270260" w:rsidRPr="0017088B">
        <w:rPr>
          <w:rFonts w:eastAsia="Times New Roman"/>
          <w:kern w:val="1"/>
          <w:lang w:val="hr-HR" w:eastAsia="hi-IN" w:bidi="hi-IN"/>
        </w:rPr>
        <w:t xml:space="preserve"> pokazala da se na širem području Krušika mogu zahvatiti dodatne količine od preko 30 l/ sec</w:t>
      </w:r>
      <w:r w:rsidR="00270260">
        <w:rPr>
          <w:rFonts w:eastAsia="Times New Roman"/>
          <w:kern w:val="1"/>
          <w:lang w:val="hr-HR" w:eastAsia="hi-IN" w:bidi="hi-IN"/>
        </w:rPr>
        <w:t>, te</w:t>
      </w:r>
      <w:r w:rsidR="00270260" w:rsidRPr="0017088B">
        <w:rPr>
          <w:rFonts w:eastAsia="Times New Roman"/>
          <w:kern w:val="1"/>
          <w:lang w:val="hr-HR" w:eastAsia="hi-IN" w:bidi="hi-IN"/>
        </w:rPr>
        <w:t xml:space="preserve"> su</w:t>
      </w:r>
      <w:r w:rsidR="00270260">
        <w:rPr>
          <w:rFonts w:eastAsia="Times New Roman"/>
          <w:kern w:val="1"/>
          <w:lang w:val="hr-HR" w:eastAsia="hi-IN" w:bidi="hi-IN"/>
        </w:rPr>
        <w:t xml:space="preserve"> određene</w:t>
      </w:r>
      <w:r w:rsidR="00270260" w:rsidRPr="0017088B">
        <w:rPr>
          <w:rFonts w:eastAsia="Times New Roman"/>
          <w:kern w:val="1"/>
          <w:lang w:val="hr-HR" w:eastAsia="hi-IN" w:bidi="hi-IN"/>
        </w:rPr>
        <w:t xml:space="preserve"> mikrolokacije novih </w:t>
      </w:r>
      <w:r w:rsidR="00270260">
        <w:rPr>
          <w:rFonts w:eastAsia="Times New Roman"/>
          <w:kern w:val="1"/>
          <w:lang w:val="hr-HR" w:eastAsia="hi-IN" w:bidi="hi-IN"/>
        </w:rPr>
        <w:t>izvorišta</w:t>
      </w:r>
      <w:r w:rsidR="00270260" w:rsidRPr="0017088B">
        <w:rPr>
          <w:rFonts w:eastAsia="Times New Roman"/>
          <w:kern w:val="1"/>
          <w:lang w:val="hr-HR" w:eastAsia="hi-IN" w:bidi="hi-IN"/>
        </w:rPr>
        <w:t>.</w:t>
      </w:r>
      <w:r w:rsidR="00270260" w:rsidRPr="0017088B">
        <w:rPr>
          <w:rFonts w:eastAsia="Times New Roman"/>
          <w:kern w:val="1"/>
          <w:vertAlign w:val="superscript"/>
          <w:lang w:val="hr-HR" w:eastAsia="hi-IN" w:bidi="hi-IN"/>
        </w:rPr>
        <w:footnoteReference w:id="45"/>
      </w:r>
      <w:r w:rsidR="00270260" w:rsidRPr="0017088B">
        <w:rPr>
          <w:rFonts w:eastAsia="Times New Roman"/>
          <w:kern w:val="1"/>
          <w:lang w:val="hr-HR" w:eastAsia="hi-IN" w:bidi="hi-IN"/>
        </w:rPr>
        <w:t xml:space="preserve"> </w:t>
      </w:r>
    </w:p>
    <w:p w:rsidR="008A7F6B" w:rsidRPr="00B60137" w:rsidRDefault="00F25857" w:rsidP="00750FA5">
      <w:pPr>
        <w:rPr>
          <w:lang w:eastAsia="ar-SA"/>
        </w:rPr>
      </w:pPr>
      <w:r w:rsidRPr="008A7F6B">
        <w:rPr>
          <w:rFonts w:eastAsia="Times New Roman"/>
          <w:color w:val="000000"/>
          <w:kern w:val="1"/>
          <w:lang w:val="hr-HR" w:eastAsia="ar-SA"/>
        </w:rPr>
        <w:t>Prioritetn</w:t>
      </w:r>
      <w:r w:rsidR="008A7F6B" w:rsidRPr="008A7F6B">
        <w:rPr>
          <w:rFonts w:eastAsia="Times New Roman"/>
          <w:color w:val="000000"/>
          <w:kern w:val="1"/>
          <w:lang w:val="hr-HR" w:eastAsia="ar-SA"/>
        </w:rPr>
        <w:t>e</w:t>
      </w:r>
      <w:r w:rsidRPr="008A7F6B">
        <w:rPr>
          <w:rFonts w:eastAsia="Times New Roman"/>
          <w:color w:val="000000"/>
          <w:kern w:val="1"/>
          <w:lang w:val="hr-HR" w:eastAsia="ar-SA"/>
        </w:rPr>
        <w:t xml:space="preserve"> </w:t>
      </w:r>
      <w:r w:rsidR="008A7F6B" w:rsidRPr="008A7F6B">
        <w:rPr>
          <w:rFonts w:eastAsia="Times New Roman"/>
          <w:color w:val="000000"/>
          <w:kern w:val="1"/>
          <w:lang w:val="hr-HR" w:eastAsia="ar-SA"/>
        </w:rPr>
        <w:t>potrebe</w:t>
      </w:r>
      <w:r w:rsidRPr="008A7F6B">
        <w:rPr>
          <w:rFonts w:eastAsia="Times New Roman"/>
          <w:color w:val="000000"/>
          <w:kern w:val="1"/>
          <w:lang w:val="hr-HR" w:eastAsia="ar-SA"/>
        </w:rPr>
        <w:t xml:space="preserve"> za</w:t>
      </w:r>
      <w:r w:rsidR="008A7F6B" w:rsidRPr="008A7F6B">
        <w:rPr>
          <w:rFonts w:eastAsia="Times New Roman"/>
          <w:color w:val="000000"/>
          <w:kern w:val="1"/>
          <w:lang w:val="hr-HR" w:eastAsia="ar-SA"/>
        </w:rPr>
        <w:t xml:space="preserve"> unaprjeđenje</w:t>
      </w:r>
      <w:r w:rsidRPr="008A7F6B">
        <w:rPr>
          <w:rFonts w:eastAsia="Times New Roman"/>
          <w:color w:val="000000"/>
          <w:kern w:val="1"/>
          <w:lang w:val="hr-HR" w:eastAsia="ar-SA"/>
        </w:rPr>
        <w:t xml:space="preserve"> poslovanj</w:t>
      </w:r>
      <w:r w:rsidR="008A7F6B" w:rsidRPr="008A7F6B">
        <w:rPr>
          <w:rFonts w:eastAsia="Times New Roman"/>
          <w:color w:val="000000"/>
          <w:kern w:val="1"/>
          <w:lang w:val="hr-HR" w:eastAsia="ar-SA"/>
        </w:rPr>
        <w:t>a</w:t>
      </w:r>
      <w:r w:rsidRPr="008A7F6B">
        <w:rPr>
          <w:rFonts w:eastAsia="Times New Roman"/>
          <w:color w:val="000000"/>
          <w:kern w:val="1"/>
          <w:lang w:val="hr-HR" w:eastAsia="ar-SA"/>
        </w:rPr>
        <w:t xml:space="preserve"> </w:t>
      </w:r>
      <w:r w:rsidR="008A7F6B" w:rsidRPr="008A7F6B">
        <w:rPr>
          <w:rFonts w:eastAsia="Times New Roman"/>
          <w:color w:val="000000"/>
          <w:kern w:val="1"/>
          <w:lang w:val="hr-HR" w:eastAsia="ar-SA"/>
        </w:rPr>
        <w:t>JP ViK vezane su za nastavak automatizacije poslovanja (</w:t>
      </w:r>
      <w:r w:rsidR="008A7F6B" w:rsidRPr="00B60137">
        <w:rPr>
          <w:lang w:eastAsia="ar-SA"/>
        </w:rPr>
        <w:t>ugradnj</w:t>
      </w:r>
      <w:r w:rsidR="008A7F6B">
        <w:rPr>
          <w:lang w:eastAsia="ar-SA"/>
        </w:rPr>
        <w:t>a</w:t>
      </w:r>
      <w:r w:rsidR="008A7F6B" w:rsidRPr="00B60137">
        <w:rPr>
          <w:lang w:eastAsia="ar-SA"/>
        </w:rPr>
        <w:t xml:space="preserve"> vodomjera </w:t>
      </w:r>
      <w:r w:rsidR="008A7F6B">
        <w:rPr>
          <w:lang w:eastAsia="ar-SA"/>
        </w:rPr>
        <w:t>z</w:t>
      </w:r>
      <w:r w:rsidR="008A7F6B" w:rsidRPr="00B60137">
        <w:rPr>
          <w:lang w:eastAsia="ar-SA"/>
        </w:rPr>
        <w:t>a daljinsko očita</w:t>
      </w:r>
      <w:r w:rsidR="008A7F6B">
        <w:rPr>
          <w:lang w:eastAsia="ar-SA"/>
        </w:rPr>
        <w:t>va</w:t>
      </w:r>
      <w:r w:rsidR="008A7F6B" w:rsidRPr="00B60137">
        <w:rPr>
          <w:lang w:eastAsia="ar-SA"/>
        </w:rPr>
        <w:t>nje za sve korisnike usluge vodosnabdjevanja</w:t>
      </w:r>
      <w:r w:rsidR="008A7F6B" w:rsidRPr="008A7F6B">
        <w:rPr>
          <w:rFonts w:eastAsia="Times New Roman"/>
          <w:color w:val="000000"/>
          <w:kern w:val="1"/>
          <w:lang w:val="hr-HR" w:eastAsia="ar-SA"/>
        </w:rPr>
        <w:t xml:space="preserve">), </w:t>
      </w:r>
      <w:r w:rsidR="008A7F6B">
        <w:rPr>
          <w:lang w:eastAsia="ar-SA"/>
        </w:rPr>
        <w:t>p</w:t>
      </w:r>
      <w:r w:rsidR="008A7F6B" w:rsidRPr="00B60137">
        <w:rPr>
          <w:lang w:eastAsia="ar-SA"/>
        </w:rPr>
        <w:t xml:space="preserve">roširenje sistema telemetrije na sve vodne objekte </w:t>
      </w:r>
      <w:r w:rsidR="008A7F6B">
        <w:rPr>
          <w:lang w:eastAsia="ar-SA"/>
        </w:rPr>
        <w:t>u</w:t>
      </w:r>
      <w:r w:rsidR="008A7F6B" w:rsidRPr="00B60137">
        <w:rPr>
          <w:lang w:eastAsia="ar-SA"/>
        </w:rPr>
        <w:t xml:space="preserve"> vodovodnom  sistemu</w:t>
      </w:r>
      <w:r w:rsidR="008A7F6B">
        <w:rPr>
          <w:lang w:eastAsia="ar-SA"/>
        </w:rPr>
        <w:t xml:space="preserve"> i p</w:t>
      </w:r>
      <w:r w:rsidR="008A7F6B" w:rsidRPr="00B60137">
        <w:rPr>
          <w:lang w:eastAsia="ar-SA"/>
        </w:rPr>
        <w:t>ronalaženje novih izvorišta vode</w:t>
      </w:r>
      <w:r w:rsidR="008A7F6B" w:rsidRPr="008A7F6B">
        <w:rPr>
          <w:lang w:eastAsia="ar-SA"/>
        </w:rPr>
        <w:t xml:space="preserve"> </w:t>
      </w:r>
      <w:r w:rsidR="008A7F6B">
        <w:rPr>
          <w:lang w:eastAsia="ar-SA"/>
        </w:rPr>
        <w:t>(</w:t>
      </w:r>
      <w:r w:rsidR="008A7F6B" w:rsidRPr="00B60137">
        <w:rPr>
          <w:lang w:eastAsia="ar-SA"/>
        </w:rPr>
        <w:t>ili kopanje novih bunara</w:t>
      </w:r>
      <w:r w:rsidR="008A7F6B" w:rsidRPr="008A7F6B">
        <w:rPr>
          <w:lang w:eastAsia="ar-SA"/>
        </w:rPr>
        <w:t xml:space="preserve"> </w:t>
      </w:r>
      <w:r w:rsidR="008A7F6B" w:rsidRPr="00B60137">
        <w:rPr>
          <w:lang w:eastAsia="ar-SA"/>
        </w:rPr>
        <w:t>na postojećem izvorištu</w:t>
      </w:r>
      <w:r w:rsidR="008A7F6B">
        <w:rPr>
          <w:lang w:eastAsia="ar-SA"/>
        </w:rPr>
        <w:t>)</w:t>
      </w:r>
      <w:r w:rsidR="008A7F6B" w:rsidRPr="00B60137">
        <w:rPr>
          <w:lang w:eastAsia="ar-SA"/>
        </w:rPr>
        <w:t xml:space="preserve"> u cilju obezbjeđivanja dovoljnih količina vode za distribuciju.</w:t>
      </w:r>
      <w:r w:rsidR="00235AB8">
        <w:rPr>
          <w:lang w:eastAsia="ar-SA"/>
        </w:rPr>
        <w:t xml:space="preserve"> </w:t>
      </w:r>
    </w:p>
    <w:p w:rsidR="0017088B" w:rsidRPr="00B60137" w:rsidRDefault="0017088B" w:rsidP="00750FA5">
      <w:pPr>
        <w:rPr>
          <w:rFonts w:eastAsia="Times New Roman"/>
          <w:color w:val="000000"/>
          <w:kern w:val="1"/>
          <w:lang w:val="hr-HR" w:eastAsia="ar-SA"/>
        </w:rPr>
      </w:pPr>
      <w:r w:rsidRPr="0094519D">
        <w:rPr>
          <w:lang w:val="hr-HR" w:eastAsia="ar-SA"/>
        </w:rPr>
        <w:t>Dugoročno rješenje problema vodosnabdijevanja općine Kalesija, moguće je realizacijom regionalnog vodovodnog sistema</w:t>
      </w:r>
      <w:r w:rsidR="00270260">
        <w:rPr>
          <w:lang w:val="hr-HR" w:eastAsia="ar-SA"/>
        </w:rPr>
        <w:t>, u skladu sa projektom</w:t>
      </w:r>
      <w:r w:rsidRPr="0094519D">
        <w:rPr>
          <w:lang w:val="hr-HR" w:eastAsia="ar-SA"/>
        </w:rPr>
        <w:t xml:space="preserve"> „Dugoročni program snabdijevanja pitkom vodom stanovništva i privrede na vodnom područiju slivova rijeke Save u Federaciji BiH na kantonalnom i podslivovskom nivou – Tuzlanski kanton“</w:t>
      </w:r>
      <w:r w:rsidR="00E624EE">
        <w:rPr>
          <w:lang w:val="hr-HR" w:eastAsia="ar-SA"/>
        </w:rPr>
        <w:t xml:space="preserve">, </w:t>
      </w:r>
      <w:r w:rsidRPr="0094519D">
        <w:rPr>
          <w:lang w:val="hr-HR" w:eastAsia="ar-SA"/>
        </w:rPr>
        <w:t>urađen od s</w:t>
      </w:r>
      <w:r w:rsidR="00E624EE">
        <w:rPr>
          <w:lang w:val="hr-HR" w:eastAsia="ar-SA"/>
        </w:rPr>
        <w:t>trane za Zavoda za vodoprivredu</w:t>
      </w:r>
      <w:r w:rsidRPr="0094519D">
        <w:rPr>
          <w:lang w:val="hr-HR" w:eastAsia="ar-SA"/>
        </w:rPr>
        <w:t xml:space="preserve"> Sarajevo</w:t>
      </w:r>
      <w:r w:rsidR="00E624EE">
        <w:rPr>
          <w:lang w:val="hr-HR" w:eastAsia="ar-SA"/>
        </w:rPr>
        <w:t xml:space="preserve"> (</w:t>
      </w:r>
      <w:r w:rsidRPr="0094519D">
        <w:rPr>
          <w:lang w:val="hr-HR" w:eastAsia="ar-SA"/>
        </w:rPr>
        <w:t>2002/2003)</w:t>
      </w:r>
      <w:r w:rsidR="00E624EE">
        <w:rPr>
          <w:lang w:val="hr-HR" w:eastAsia="ar-SA"/>
        </w:rPr>
        <w:t>,</w:t>
      </w:r>
      <w:r w:rsidRPr="0094519D">
        <w:rPr>
          <w:lang w:val="hr-HR" w:eastAsia="ar-SA"/>
        </w:rPr>
        <w:t xml:space="preserve"> </w:t>
      </w:r>
      <w:r w:rsidRPr="0094519D">
        <w:rPr>
          <w:lang w:val="hr-HR" w:eastAsia="hi-IN" w:bidi="hi-IN"/>
        </w:rPr>
        <w:t xml:space="preserve">Do realizacije </w:t>
      </w:r>
      <w:r w:rsidR="00E624EE">
        <w:rPr>
          <w:lang w:val="hr-HR" w:eastAsia="hi-IN" w:bidi="hi-IN"/>
        </w:rPr>
        <w:t xml:space="preserve">projekta </w:t>
      </w:r>
      <w:r w:rsidRPr="0094519D">
        <w:rPr>
          <w:lang w:val="hr-HR" w:eastAsia="hi-IN" w:bidi="hi-IN"/>
        </w:rPr>
        <w:t xml:space="preserve">regionalnog vodovodnog sistema, mogući način rješenja vodosnabdijevanja </w:t>
      </w:r>
      <w:r w:rsidR="00270260">
        <w:rPr>
          <w:lang w:val="hr-HR" w:eastAsia="hi-IN" w:bidi="hi-IN"/>
        </w:rPr>
        <w:t xml:space="preserve">za općinu </w:t>
      </w:r>
      <w:r w:rsidRPr="0094519D">
        <w:rPr>
          <w:lang w:val="hr-HR" w:eastAsia="hi-IN" w:bidi="hi-IN"/>
        </w:rPr>
        <w:t xml:space="preserve">Kalesija </w:t>
      </w:r>
      <w:r w:rsidR="00270260">
        <w:rPr>
          <w:lang w:val="hr-HR" w:eastAsia="hi-IN" w:bidi="hi-IN"/>
        </w:rPr>
        <w:t>bilo bi</w:t>
      </w:r>
      <w:r w:rsidRPr="0094519D">
        <w:rPr>
          <w:lang w:val="hr-HR" w:eastAsia="hi-IN" w:bidi="hi-IN"/>
        </w:rPr>
        <w:t xml:space="preserve"> vezivanje na međuopćinski sistem vodosnabdijevanja</w:t>
      </w:r>
      <w:r w:rsidRPr="0094519D">
        <w:rPr>
          <w:sz w:val="20"/>
          <w:szCs w:val="18"/>
          <w:lang w:val="hr-HR" w:eastAsia="hi-IN" w:bidi="hi-IN"/>
        </w:rPr>
        <w:t xml:space="preserve">. </w:t>
      </w:r>
      <w:r w:rsidR="00E624EE">
        <w:rPr>
          <w:lang w:val="hr-HR" w:eastAsia="hi-IN" w:bidi="hi-IN"/>
        </w:rPr>
        <w:t>Tuzla-Živinice-</w:t>
      </w:r>
      <w:r w:rsidRPr="0094519D">
        <w:rPr>
          <w:lang w:val="hr-HR" w:eastAsia="hi-IN" w:bidi="hi-IN"/>
        </w:rPr>
        <w:t xml:space="preserve">Lukavac, odnosno korištenje raspoloživih količina vode jezera Modrac. </w:t>
      </w:r>
    </w:p>
    <w:p w:rsidR="0017088B" w:rsidRPr="0017088B" w:rsidRDefault="0017088B" w:rsidP="00AD59CB">
      <w:pPr>
        <w:pStyle w:val="Heading4"/>
        <w:rPr>
          <w:lang w:val="hr-HR" w:eastAsia="ar-SA"/>
        </w:rPr>
      </w:pPr>
      <w:bookmarkStart w:id="75" w:name="_Toc500140026"/>
      <w:r w:rsidRPr="0017088B">
        <w:rPr>
          <w:lang w:val="hr-HR" w:eastAsia="ar-SA"/>
        </w:rPr>
        <w:t>Odvođenje otpadnih voda</w:t>
      </w:r>
      <w:bookmarkEnd w:id="75"/>
    </w:p>
    <w:p w:rsidR="00F31840" w:rsidRPr="0094519D" w:rsidRDefault="00F31840" w:rsidP="00750FA5">
      <w:pPr>
        <w:suppressAutoHyphens/>
        <w:rPr>
          <w:rFonts w:eastAsia="Times New Roman"/>
          <w:color w:val="000000"/>
          <w:kern w:val="1"/>
          <w:lang w:val="hr-HR" w:eastAsia="ar-SA"/>
        </w:rPr>
      </w:pPr>
      <w:r w:rsidRPr="0094519D">
        <w:rPr>
          <w:rFonts w:eastAsia="Times New Roman"/>
          <w:color w:val="000000"/>
          <w:kern w:val="1"/>
          <w:lang w:val="hr-HR" w:eastAsia="ar-SA"/>
        </w:rPr>
        <w:t xml:space="preserve">Otpadne vode na području općine Kalesija vezane su za dispoziciju naselja i industrije. One obuhvataju fekalne, oborinske i industrijske otpadne vode. Osim naselja Kalesija, izgrađenu javnu kanalizacionu mrežu imaju još dijelovi Tojšića, Memića, Mahmutovića, Lipovice, Gornjeg i Donjeg Hrasna, i Prnjavora. Ova kanalizacija je izgrađena vlastitim sredstvima stanovnika pobrojanih naselja. </w:t>
      </w:r>
    </w:p>
    <w:p w:rsidR="00C62D4F" w:rsidRDefault="00F31840" w:rsidP="00750FA5">
      <w:pPr>
        <w:rPr>
          <w:lang w:val="hr-HR" w:eastAsia="hi-IN" w:bidi="hi-IN"/>
        </w:rPr>
      </w:pPr>
      <w:r w:rsidRPr="0094519D">
        <w:rPr>
          <w:lang w:val="hr-HR" w:eastAsia="hi-IN" w:bidi="hi-IN"/>
        </w:rPr>
        <w:t xml:space="preserve">Postojeći kanalizacioni sistem Općine Kalesija je mješovitog tipa, tj. jedinstven kanalizacioni sistem za fekalne, oborinske i industrijske otpadne vode. </w:t>
      </w:r>
      <w:r w:rsidR="00C62D4F">
        <w:rPr>
          <w:lang w:val="hr-HR" w:eastAsia="hi-IN" w:bidi="hi-IN"/>
        </w:rPr>
        <w:t>S</w:t>
      </w:r>
      <w:r w:rsidRPr="0094519D">
        <w:rPr>
          <w:lang w:val="hr-HR" w:eastAsia="hi-IN" w:bidi="hi-IN"/>
        </w:rPr>
        <w:t>istem se sastoji od glavnog kolektora profila Ø500 mm i ogranaka (sekundarnih kolektora) sa priključcima, ukupne dužine oko 4.0 km. Profili primarnog (glavnog) kolektora su neodgovarajući, pa upuštanjem oborinskih voda dolazi do pojave zapušenja (preopterećenja). Zbog nedostataka u kanalizacionoj mreži dolazi do izlijevanja fekalija, posebno u dijelu dvorišta Srednje škole u Kalesiji, što može dovesti do pojave zaraznih bolesti. Prihvat otpadnih voda se vrši u prijemnik (septička jama), koja se nalazi u neposrednoj blizini rijeke Spreče. Zbog preopterećenosti mreže, prijemnik ne zadovoljava potrebe, te se otpadne vode neprečišćene ispuštaju u rijeku Spreču. Procjena je da je na ovaj sistem priključeno manje od 5% domaćinstava</w:t>
      </w:r>
      <w:r w:rsidR="00C62D4F">
        <w:rPr>
          <w:lang w:val="hr-HR" w:eastAsia="hi-IN" w:bidi="hi-IN"/>
        </w:rPr>
        <w:t xml:space="preserve">, odnosno </w:t>
      </w:r>
      <w:r w:rsidR="00C62D4F" w:rsidRPr="00F31840">
        <w:rPr>
          <w:rFonts w:eastAsia="Times New Roman" w:cs="Mangal"/>
          <w:kern w:val="1"/>
          <w:lang w:val="hr-HR" w:eastAsia="hi-IN" w:bidi="hi-IN"/>
        </w:rPr>
        <w:t>691</w:t>
      </w:r>
      <w:r w:rsidR="00C62D4F">
        <w:rPr>
          <w:rFonts w:eastAsia="Times New Roman" w:cs="Mangal"/>
          <w:kern w:val="1"/>
          <w:lang w:val="hr-HR" w:eastAsia="hi-IN" w:bidi="hi-IN"/>
        </w:rPr>
        <w:t xml:space="preserve"> domaćinstvo i 150 pravnih lica</w:t>
      </w:r>
      <w:r w:rsidR="00C62D4F" w:rsidRPr="00F31840">
        <w:rPr>
          <w:rFonts w:eastAsia="Times New Roman" w:cs="Mangal"/>
          <w:kern w:val="1"/>
          <w:vertAlign w:val="superscript"/>
          <w:lang w:val="hr-HR" w:eastAsia="hi-IN" w:bidi="hi-IN"/>
        </w:rPr>
        <w:footnoteReference w:id="46"/>
      </w:r>
      <w:r w:rsidR="00C62D4F">
        <w:rPr>
          <w:rFonts w:eastAsia="Times New Roman" w:cs="Mangal"/>
          <w:kern w:val="1"/>
          <w:lang w:val="hr-HR" w:eastAsia="hi-IN" w:bidi="hi-IN"/>
        </w:rPr>
        <w:t>.</w:t>
      </w:r>
    </w:p>
    <w:p w:rsidR="00C62D4F" w:rsidRPr="005F56C3" w:rsidRDefault="00F31840" w:rsidP="00750FA5">
      <w:pPr>
        <w:rPr>
          <w:lang w:val="hr-HR" w:eastAsia="ar-SA"/>
        </w:rPr>
      </w:pPr>
      <w:r w:rsidRPr="0094519D">
        <w:rPr>
          <w:lang w:val="hr-HR" w:eastAsia="ar-SA"/>
        </w:rPr>
        <w:t>„Glavnim projektom feklane kanalizacije općine Kalesija“ (SARAJ INŽENJERING d.o.o. Sarajevo) razrađeno je rješavanje problema odvođenja fekalnih voda. Projektnom dokumentacijom predviđene su lokacije privremenih ispusta, do izgradnje prečistača otpadnih voda. Cijevi su predviđene</w:t>
      </w:r>
      <w:r w:rsidR="00C62D4F">
        <w:rPr>
          <w:lang w:val="hr-HR" w:eastAsia="ar-SA"/>
        </w:rPr>
        <w:t>,</w:t>
      </w:r>
      <w:r w:rsidRPr="0094519D">
        <w:rPr>
          <w:lang w:val="hr-HR" w:eastAsia="ar-SA"/>
        </w:rPr>
        <w:t xml:space="preserve"> u zavisnosti od opterećanja</w:t>
      </w:r>
      <w:r w:rsidR="00C62D4F">
        <w:rPr>
          <w:lang w:val="hr-HR" w:eastAsia="ar-SA"/>
        </w:rPr>
        <w:t>,</w:t>
      </w:r>
      <w:r w:rsidRPr="0094519D">
        <w:rPr>
          <w:lang w:val="hr-HR" w:eastAsia="ar-SA"/>
        </w:rPr>
        <w:t xml:space="preserve"> od centrifugiranog poliestera i rebraste korugirane PE cijevi. Realizacijom projekta značajno će se popraviti kvaliteta usluge i življenja u predmetnim naseljima, te umanjiti negativni utjecaji na stanovništvo, tl</w:t>
      </w:r>
      <w:r w:rsidR="00C62D4F">
        <w:rPr>
          <w:lang w:val="hr-HR" w:eastAsia="ar-SA"/>
        </w:rPr>
        <w:t>o i površinske i podzemne vode</w:t>
      </w:r>
      <w:r w:rsidRPr="0094519D">
        <w:rPr>
          <w:lang w:val="hr-HR" w:eastAsia="ar-SA"/>
        </w:rPr>
        <w:t xml:space="preserve">. </w:t>
      </w:r>
      <w:r w:rsidR="00573EE9" w:rsidRPr="00573EE9">
        <w:rPr>
          <w:lang w:val="hr-HR" w:eastAsia="ar-SA"/>
        </w:rPr>
        <w:t>Realizacija projekta je započela izgradnjom dijela fekalne kanalizacije pored pješačke staze Rainci Gornji-Petrovice Gornje. Budžetom za ovu godinu također je planirana dogradnja i izgradnja fekalne kanalizacije Kalesija Centar i okolnih mjesta.</w:t>
      </w:r>
      <w:r w:rsidR="00573EE9">
        <w:rPr>
          <w:lang w:val="hr-HR" w:eastAsia="ar-SA"/>
        </w:rPr>
        <w:t xml:space="preserve"> </w:t>
      </w:r>
      <w:r w:rsidRPr="0094519D">
        <w:rPr>
          <w:lang w:val="hr-HR" w:eastAsia="ar-SA"/>
        </w:rPr>
        <w:t xml:space="preserve">Problem oborinskih voda do sada nije </w:t>
      </w:r>
      <w:r w:rsidR="00573EE9">
        <w:rPr>
          <w:lang w:val="hr-HR" w:eastAsia="ar-SA"/>
        </w:rPr>
        <w:t>tretiran</w:t>
      </w:r>
      <w:r w:rsidRPr="0094519D">
        <w:rPr>
          <w:lang w:val="hr-HR" w:eastAsia="ar-SA"/>
        </w:rPr>
        <w:t xml:space="preserve"> na odgovarajući način, te je u narednom periodu potrebno izraditi i implementirati projekat oborinske kanalizacije na nivou općine. </w:t>
      </w:r>
    </w:p>
    <w:p w:rsidR="00426634" w:rsidRDefault="00426634" w:rsidP="00AD59CB">
      <w:pPr>
        <w:pStyle w:val="Heading4"/>
        <w:rPr>
          <w:lang w:val="hr-HR" w:eastAsia="hi-IN" w:bidi="hi-IN"/>
        </w:rPr>
      </w:pPr>
      <w:bookmarkStart w:id="76" w:name="_Toc500140027"/>
      <w:r w:rsidRPr="00426634">
        <w:rPr>
          <w:lang w:val="hr-HR" w:eastAsia="hi-IN" w:bidi="hi-IN"/>
        </w:rPr>
        <w:lastRenderedPageBreak/>
        <w:t>Elektroenergetska infrastruktura</w:t>
      </w:r>
      <w:bookmarkEnd w:id="76"/>
      <w:r w:rsidRPr="00426634">
        <w:rPr>
          <w:lang w:val="hr-HR" w:eastAsia="hi-IN" w:bidi="hi-IN"/>
        </w:rPr>
        <w:t xml:space="preserve"> </w:t>
      </w:r>
    </w:p>
    <w:p w:rsidR="00962D4D" w:rsidRPr="00962D4D" w:rsidRDefault="00962D4D" w:rsidP="00750FA5">
      <w:pPr>
        <w:rPr>
          <w:lang w:val="hr-HR" w:eastAsia="hi-IN" w:bidi="hi-IN"/>
        </w:rPr>
      </w:pPr>
      <w:r w:rsidRPr="00962D4D">
        <w:rPr>
          <w:lang w:val="hr-HR" w:eastAsia="hi-IN" w:bidi="hi-IN"/>
        </w:rPr>
        <w:t xml:space="preserve">Teritorija općine Kalesija, odnosno sva naselja su pokrivena sistemom elektrodistributivne  mreže, tako da na području općine Kalesija sva naselja se kontinuirano snadbjevaju sa električnom energijom. Područje općine Kalesija se napaja iz tri distributivne čvorne transformatorske stanice (ČTS) 35/10 kV i to: Kalesija, Tojšići i Požarnica. Trafostanice 35/10 kV Kalesija i Tojšići nalaze se na području općine Kalesija, a trafostanica 35/10 kV Požarnica se nalazi na području općine Tuzla i sa nje se napaja dio općine Kalesija tj. naselja Seljublje, Paraći, Donje i Gornje Hrasno. Između TS 35/10 kV Tojšići i TS 35/10 kV Kalesija postoji veza 35 kV dalekovodom Al/Fe presjeka 120 mm2, tako da općina Kalesija ima mogućnost dvostranog napajanja. Ukupan broj TS 10(20)/0,4 kV je 124 od toga je 112 TS u vlasništvu ED Tuzla a preostalih 12 je uvlasništvu „trećih lica“. Ukupna instalisana snaga TS 10(20)/0,4 kV je 31,18 MVA. Ukupna dužina 10(20) kV mreže (dalkovoda) je 104,171 km a ukpna dužina niskonaponske 0,4 kV mreže je 550,303 km. </w:t>
      </w:r>
    </w:p>
    <w:p w:rsidR="00962D4D" w:rsidRPr="00962D4D" w:rsidRDefault="00962D4D" w:rsidP="00750FA5">
      <w:pPr>
        <w:rPr>
          <w:lang w:val="hr-HR" w:eastAsia="hi-IN" w:bidi="hi-IN"/>
        </w:rPr>
      </w:pPr>
      <w:r w:rsidRPr="00962D4D">
        <w:rPr>
          <w:lang w:val="hr-HR" w:eastAsia="hi-IN" w:bidi="hi-IN"/>
        </w:rPr>
        <w:t>Broj kupaca, u zadnjih 10 godina, koji se napajaju sa elektrodistributivne mreže na području općine Kalesija,  bilježi rast u prosjeku za 1,78 % godišnje ili za poslednjih 10 godina je porastao za 17,8 % tako da PJD Kalesija je sa 31.12.2016.godine imala registrovanih 11.002 kupca el.energije, dok je taj broj 2006 godine bio 9.307.</w:t>
      </w:r>
    </w:p>
    <w:p w:rsidR="00962D4D" w:rsidRPr="00962D4D" w:rsidRDefault="00962D4D" w:rsidP="00750FA5">
      <w:pPr>
        <w:rPr>
          <w:lang w:val="hr-HR" w:eastAsia="hi-IN" w:bidi="hi-IN"/>
        </w:rPr>
      </w:pPr>
      <w:r w:rsidRPr="00962D4D">
        <w:rPr>
          <w:lang w:val="hr-HR" w:eastAsia="hi-IN" w:bidi="hi-IN"/>
        </w:rPr>
        <w:t>Analizirajući potrošnju (realizaciju) električne  energije u proteklih 10 godina dolazi se do podatka da iz godine u godinu je povećana potrošnje (realizacija) električne energije i to u prosjeku godišnje  za 5,5 % .</w:t>
      </w:r>
    </w:p>
    <w:p w:rsidR="00962D4D" w:rsidRPr="00962D4D" w:rsidRDefault="00962D4D" w:rsidP="00750FA5">
      <w:pPr>
        <w:rPr>
          <w:lang w:val="hr-HR" w:eastAsia="hi-IN" w:bidi="hi-IN"/>
        </w:rPr>
      </w:pPr>
      <w:r w:rsidRPr="00962D4D">
        <w:rPr>
          <w:lang w:val="hr-HR" w:eastAsia="hi-IN" w:bidi="hi-IN"/>
        </w:rPr>
        <w:t>U 2007 godini ukupna realizacija električne energije je iznosila 38.945.712 kWh a u 2016 godini realizacija je iznosila 60.189.578 kWh.</w:t>
      </w:r>
    </w:p>
    <w:p w:rsidR="00962D4D" w:rsidRPr="00962D4D" w:rsidRDefault="00962D4D" w:rsidP="00750FA5">
      <w:pPr>
        <w:rPr>
          <w:lang w:val="hr-HR" w:eastAsia="hi-IN" w:bidi="hi-IN"/>
        </w:rPr>
      </w:pPr>
      <w:r w:rsidRPr="00962D4D">
        <w:rPr>
          <w:lang w:val="hr-HR" w:eastAsia="hi-IN" w:bidi="hi-IN"/>
        </w:rPr>
        <w:t>Zbog povećanja broja kupaca iz godine u godinu kao i evidentni porast potrošnje električne energije zahtijeva pravovremeno planiranje izgradnje novih elektroenergetskih objekata, odnosno transformatorskih stanica prenosnog odnosa 10(20)/0,4 kV.</w:t>
      </w:r>
    </w:p>
    <w:p w:rsidR="00962D4D" w:rsidRPr="00962D4D" w:rsidRDefault="00962D4D" w:rsidP="00750FA5">
      <w:pPr>
        <w:rPr>
          <w:lang w:val="hr-HR" w:eastAsia="hi-IN" w:bidi="hi-IN"/>
        </w:rPr>
      </w:pPr>
      <w:r w:rsidRPr="00962D4D">
        <w:rPr>
          <w:lang w:val="hr-HR" w:eastAsia="hi-IN" w:bidi="hi-IN"/>
        </w:rPr>
        <w:t xml:space="preserve">U narednom periodu (period 2017-20125 godina) u cilju obezbjeđenja svim krajnjim kupcima kontinuirane isporuke  električne energije, poboljšanja naponskih prilika kod postojećih krajnjih kupaca te stvaranje uslova za priključenje novih krajnjih kupaca na elektrodistributivnu mrežu, planirana su investiciona ulaganja u proširenje energetskih kapaciteta elektrodistributivne mreže za šta je predviđeno 17 investicionih projekata. </w:t>
      </w:r>
    </w:p>
    <w:p w:rsidR="00C62D4F" w:rsidRPr="00962D4D" w:rsidRDefault="00962D4D" w:rsidP="00750FA5">
      <w:pPr>
        <w:rPr>
          <w:lang w:val="hr-HR" w:eastAsia="hi-IN" w:bidi="hi-IN"/>
        </w:rPr>
      </w:pPr>
      <w:r w:rsidRPr="00962D4D">
        <w:rPr>
          <w:lang w:val="hr-HR" w:eastAsia="hi-IN" w:bidi="hi-IN"/>
        </w:rPr>
        <w:t>Proširenje TS 35/10 kV Kalesija na TS 110/x kV Kalesija je u toku. Radovi na izgradnji TS 110/x kV Klesija su započeti još 2002.godine,urađen je veći dio posla na montaži 110 kV dalekovoda „ulaz-izlaz“ prema budućem postrojenju 110 kV Kalesija. Prema „Dugoročnom planu razvoja prenosne mreže 2014-</w:t>
      </w:r>
      <w:r w:rsidRPr="00195392">
        <w:rPr>
          <w:lang w:val="hr-HR" w:eastAsia="hi-IN" w:bidi="hi-IN"/>
        </w:rPr>
        <w:t>2023“ urađenom u oktobru 2014.godine od strane JP Elektroprijenos BiH a.d. Banja Luka, stoji da su radovi na izgradnji TS 110/35/10(20) kV Klesija u toku</w:t>
      </w:r>
      <w:r w:rsidR="00EF2930" w:rsidRPr="00195392">
        <w:rPr>
          <w:lang w:val="hr-HR" w:eastAsia="hi-IN" w:bidi="hi-IN"/>
        </w:rPr>
        <w:t xml:space="preserve"> i očekuje se da biti  završeni 2018/2019</w:t>
      </w:r>
      <w:r w:rsidRPr="00195392">
        <w:rPr>
          <w:lang w:val="hr-HR" w:eastAsia="hi-IN" w:bidi="hi-IN"/>
        </w:rPr>
        <w:t xml:space="preserve">. </w:t>
      </w:r>
      <w:r w:rsidR="00EF2930" w:rsidRPr="00195392">
        <w:rPr>
          <w:lang w:val="hr-HR" w:eastAsia="hi-IN" w:bidi="hi-IN"/>
        </w:rPr>
        <w:t>godine</w:t>
      </w:r>
      <w:r w:rsidR="002F46B5" w:rsidRPr="00195392">
        <w:rPr>
          <w:lang w:val="hr-HR" w:eastAsia="hi-IN" w:bidi="hi-IN"/>
        </w:rPr>
        <w:t xml:space="preserve">. </w:t>
      </w:r>
      <w:r w:rsidRPr="00195392">
        <w:rPr>
          <w:lang w:val="hr-HR" w:eastAsia="hi-IN" w:bidi="hi-IN"/>
        </w:rPr>
        <w:t>Plan je usvojen 17.02.2015.godine.</w:t>
      </w:r>
      <w:r w:rsidR="00195392" w:rsidRPr="00195392">
        <w:rPr>
          <w:lang w:val="hr-HR" w:eastAsia="hi-IN" w:bidi="hi-IN"/>
        </w:rPr>
        <w:t xml:space="preserve"> </w:t>
      </w:r>
      <w:r w:rsidRPr="00195392">
        <w:rPr>
          <w:lang w:val="hr-HR" w:eastAsia="hi-IN" w:bidi="hi-IN"/>
        </w:rPr>
        <w:t>Transformatorska stanica 110/x kV Kalesija raspolagat će sa dva energetska</w:t>
      </w:r>
      <w:r w:rsidRPr="00962D4D">
        <w:rPr>
          <w:lang w:val="hr-HR" w:eastAsia="hi-IN" w:bidi="hi-IN"/>
        </w:rPr>
        <w:t xml:space="preserve"> trafoa 110/x kV snage 20 MVA.</w:t>
      </w:r>
    </w:p>
    <w:p w:rsidR="0073395E" w:rsidRPr="0073395E" w:rsidRDefault="0073395E" w:rsidP="00AD59CB">
      <w:pPr>
        <w:pStyle w:val="Heading4"/>
        <w:rPr>
          <w:lang w:val="hr-HR" w:eastAsia="ar-SA"/>
        </w:rPr>
      </w:pPr>
      <w:bookmarkStart w:id="77" w:name="_Toc500140028"/>
      <w:r w:rsidRPr="0073395E">
        <w:rPr>
          <w:lang w:val="hr-HR" w:eastAsia="ar-SA"/>
        </w:rPr>
        <w:t>Javna rasvjeta</w:t>
      </w:r>
      <w:bookmarkEnd w:id="77"/>
      <w:r w:rsidRPr="0073395E">
        <w:rPr>
          <w:lang w:val="hr-HR" w:eastAsia="ar-SA"/>
        </w:rPr>
        <w:t xml:space="preserve"> </w:t>
      </w:r>
    </w:p>
    <w:p w:rsidR="0073395E" w:rsidRPr="005F56C3" w:rsidRDefault="0073395E" w:rsidP="00750FA5">
      <w:pPr>
        <w:rPr>
          <w:b/>
          <w:bCs/>
          <w:sz w:val="20"/>
          <w:szCs w:val="20"/>
          <w:lang w:val="hr-HR" w:eastAsia="hi-IN" w:bidi="hi-IN"/>
        </w:rPr>
      </w:pPr>
      <w:r w:rsidRPr="0094519D">
        <w:rPr>
          <w:lang w:val="hr-HR" w:eastAsia="hi-IN" w:bidi="hi-IN"/>
        </w:rPr>
        <w:t>Javna rasvjeta je izgrađena u  18 MZ  općine Kalesija, od ukupno 22 MZ. U pojasu lokalnih i nekategorisanih</w:t>
      </w:r>
      <w:r w:rsidR="00C62D4F">
        <w:rPr>
          <w:lang w:val="hr-HR" w:eastAsia="hi-IN" w:bidi="hi-IN"/>
        </w:rPr>
        <w:t xml:space="preserve"> cesta, kao i dijelom u pojasu </w:t>
      </w:r>
      <w:r w:rsidRPr="0094519D">
        <w:rPr>
          <w:lang w:val="hr-HR" w:eastAsia="hi-IN" w:bidi="hi-IN"/>
        </w:rPr>
        <w:t>magistralne i regionalne ceste,  postavljeni su stubovi ulične rasvjete  na kojima je ugrađeno ukupno  2.917 rasvjetnih tijela, od toga 318 LED sijalica. Od ukupnog broja ugrađenih rasv</w:t>
      </w:r>
      <w:r w:rsidR="00C62D4F">
        <w:rPr>
          <w:lang w:val="hr-HR" w:eastAsia="hi-IN" w:bidi="hi-IN"/>
        </w:rPr>
        <w:t>j</w:t>
      </w:r>
      <w:r w:rsidRPr="0094519D">
        <w:rPr>
          <w:lang w:val="hr-HR" w:eastAsia="hi-IN" w:bidi="hi-IN"/>
        </w:rPr>
        <w:t xml:space="preserve">etnih </w:t>
      </w:r>
      <w:r>
        <w:rPr>
          <w:lang w:val="hr-HR" w:eastAsia="hi-IN" w:bidi="hi-IN"/>
        </w:rPr>
        <w:t>tijela oko 25</w:t>
      </w:r>
      <w:r w:rsidRPr="0094519D">
        <w:rPr>
          <w:lang w:val="hr-HR" w:eastAsia="hi-IN" w:bidi="hi-IN"/>
        </w:rPr>
        <w:t>% je ugrađeno u urbanim centrima Kalesije Centar, Tojšića i Memića, a ostala ulična rasvjeta je izgrađena u ruralnim naseljima. Trošak električne energije za uličnu rasvjetu na godišnjem nivou iznosi 81.524,00 KM.</w:t>
      </w:r>
      <w:r w:rsidRPr="0094519D">
        <w:rPr>
          <w:color w:val="000000" w:themeColor="text1"/>
          <w:vertAlign w:val="superscript"/>
          <w:lang w:val="hr-HR" w:eastAsia="hi-IN" w:bidi="hi-IN"/>
        </w:rPr>
        <w:footnoteReference w:id="47"/>
      </w:r>
    </w:p>
    <w:p w:rsidR="0073395E" w:rsidRPr="005F56C3" w:rsidRDefault="0073395E" w:rsidP="00750FA5">
      <w:pPr>
        <w:rPr>
          <w:lang w:eastAsia="hi-IN" w:bidi="hi-IN"/>
        </w:rPr>
      </w:pPr>
      <w:r w:rsidRPr="0094519D">
        <w:rPr>
          <w:lang w:val="hr-HR" w:eastAsia="hi-IN" w:bidi="hi-IN"/>
        </w:rPr>
        <w:t>Općina Kalesija treba u budućnosti da sprovedi mjere energetske uštede za postizanje cilja koji je zacrtala EU (20-20-20), tj. 20 % uštede primarne energije, 20 % energije iz OIE i 20% smanjenje CO</w:t>
      </w:r>
      <w:r w:rsidRPr="0094519D">
        <w:rPr>
          <w:sz w:val="14"/>
          <w:szCs w:val="14"/>
          <w:lang w:val="hr-HR" w:eastAsia="hi-IN" w:bidi="hi-IN"/>
        </w:rPr>
        <w:t xml:space="preserve">2 </w:t>
      </w:r>
      <w:r w:rsidRPr="0094519D">
        <w:rPr>
          <w:lang w:val="hr-HR" w:eastAsia="hi-IN" w:bidi="hi-IN"/>
        </w:rPr>
        <w:t xml:space="preserve">do </w:t>
      </w:r>
      <w:r w:rsidRPr="0094519D">
        <w:rPr>
          <w:lang w:val="hr-HR" w:eastAsia="hi-IN" w:bidi="hi-IN"/>
        </w:rPr>
        <w:lastRenderedPageBreak/>
        <w:t xml:space="preserve">2020.godine. Za postizanje cilja energetske uštede kod javne rasvjete treba </w:t>
      </w:r>
      <w:r w:rsidR="00C62D4F">
        <w:rPr>
          <w:lang w:val="hr-HR" w:eastAsia="hi-IN" w:bidi="hi-IN"/>
        </w:rPr>
        <w:t xml:space="preserve">koristiti </w:t>
      </w:r>
      <w:r w:rsidRPr="0073395E">
        <w:rPr>
          <w:lang w:eastAsia="hi-IN" w:bidi="hi-IN"/>
        </w:rPr>
        <w:t>energetski učinkovit</w:t>
      </w:r>
      <w:r w:rsidR="00C62D4F">
        <w:rPr>
          <w:lang w:eastAsia="hi-IN" w:bidi="hi-IN"/>
        </w:rPr>
        <w:t>e</w:t>
      </w:r>
      <w:r w:rsidRPr="0073395E">
        <w:rPr>
          <w:lang w:eastAsia="hi-IN" w:bidi="hi-IN"/>
        </w:rPr>
        <w:t xml:space="preserve"> sijalic</w:t>
      </w:r>
      <w:r w:rsidR="00C62D4F">
        <w:rPr>
          <w:lang w:eastAsia="hi-IN" w:bidi="hi-IN"/>
        </w:rPr>
        <w:t xml:space="preserve">e i </w:t>
      </w:r>
      <w:r w:rsidRPr="0073395E">
        <w:rPr>
          <w:lang w:eastAsia="hi-IN" w:bidi="hi-IN"/>
        </w:rPr>
        <w:t>ekološki prihvatljiv</w:t>
      </w:r>
      <w:r w:rsidR="00C62D4F">
        <w:rPr>
          <w:lang w:eastAsia="hi-IN" w:bidi="hi-IN"/>
        </w:rPr>
        <w:t>e</w:t>
      </w:r>
      <w:r w:rsidRPr="0073395E">
        <w:rPr>
          <w:lang w:eastAsia="hi-IN" w:bidi="hi-IN"/>
        </w:rPr>
        <w:t xml:space="preserve"> materijal</w:t>
      </w:r>
      <w:r w:rsidR="00C62D4F">
        <w:rPr>
          <w:lang w:eastAsia="hi-IN" w:bidi="hi-IN"/>
        </w:rPr>
        <w:t>e</w:t>
      </w:r>
      <w:r w:rsidRPr="0073395E">
        <w:rPr>
          <w:lang w:eastAsia="hi-IN" w:bidi="hi-IN"/>
        </w:rPr>
        <w:t xml:space="preserve">. </w:t>
      </w:r>
    </w:p>
    <w:p w:rsidR="0073395E" w:rsidRPr="0094519D" w:rsidRDefault="0073395E" w:rsidP="00750FA5">
      <w:pPr>
        <w:rPr>
          <w:lang w:val="hr-HR" w:eastAsia="hi-IN" w:bidi="hi-IN"/>
        </w:rPr>
      </w:pPr>
      <w:r w:rsidRPr="0094519D">
        <w:rPr>
          <w:lang w:val="hr-HR" w:eastAsia="hi-IN" w:bidi="hi-IN"/>
        </w:rPr>
        <w:t xml:space="preserve">Za </w:t>
      </w:r>
      <w:r w:rsidR="00C62D4F">
        <w:rPr>
          <w:lang w:val="hr-HR" w:eastAsia="hi-IN" w:bidi="hi-IN"/>
        </w:rPr>
        <w:t>poboljšanje</w:t>
      </w:r>
      <w:r w:rsidRPr="0094519D">
        <w:rPr>
          <w:lang w:val="hr-HR" w:eastAsia="hi-IN" w:bidi="hi-IN"/>
        </w:rPr>
        <w:t xml:space="preserve"> postojećeg stanja javne rasvjete u općini Kalesi</w:t>
      </w:r>
      <w:r w:rsidR="00C62D4F">
        <w:rPr>
          <w:lang w:val="hr-HR" w:eastAsia="hi-IN" w:bidi="hi-IN"/>
        </w:rPr>
        <w:t>j</w:t>
      </w:r>
      <w:r w:rsidRPr="0094519D">
        <w:rPr>
          <w:lang w:val="hr-HR" w:eastAsia="hi-IN" w:bidi="hi-IN"/>
        </w:rPr>
        <w:t xml:space="preserve">a treba u sljedećim koracima planiranja izraditi dokumente u kojima će se izvršiti </w:t>
      </w:r>
      <w:r w:rsidR="00741395" w:rsidRPr="0094519D">
        <w:rPr>
          <w:lang w:val="hr-HR" w:eastAsia="hi-IN" w:bidi="hi-IN"/>
        </w:rPr>
        <w:t>detaljn</w:t>
      </w:r>
      <w:r w:rsidR="00741395">
        <w:rPr>
          <w:lang w:val="hr-HR" w:eastAsia="hi-IN" w:bidi="hi-IN"/>
        </w:rPr>
        <w:t>a</w:t>
      </w:r>
      <w:r w:rsidR="00741395" w:rsidRPr="0094519D">
        <w:rPr>
          <w:lang w:val="hr-HR" w:eastAsia="hi-IN" w:bidi="hi-IN"/>
        </w:rPr>
        <w:t xml:space="preserve"> </w:t>
      </w:r>
      <w:r w:rsidRPr="0094519D">
        <w:rPr>
          <w:lang w:val="hr-HR" w:eastAsia="hi-IN" w:bidi="hi-IN"/>
        </w:rPr>
        <w:t>tehno-ekonomska analiz</w:t>
      </w:r>
      <w:r w:rsidR="00741395">
        <w:rPr>
          <w:lang w:val="hr-HR" w:eastAsia="hi-IN" w:bidi="hi-IN"/>
        </w:rPr>
        <w:t>a</w:t>
      </w:r>
      <w:r w:rsidRPr="0094519D">
        <w:rPr>
          <w:lang w:val="hr-HR" w:eastAsia="hi-IN" w:bidi="hi-IN"/>
        </w:rPr>
        <w:t xml:space="preserve">, dati osnovne smjernice za etapnu sanaciju, rekonstrukciju, izgradnju i održavanje javne rasvjete, kako bi se u narednom periodu dostigli evropski standardi i preporuke u ovoj oblasti, uz racionalizaciju cjelokupnih troškova i maksimalno smanjenje štetnog uticaja na okoliš. </w:t>
      </w:r>
    </w:p>
    <w:p w:rsidR="00741395" w:rsidRPr="0073395E" w:rsidRDefault="0073395E" w:rsidP="00750FA5">
      <w:pPr>
        <w:rPr>
          <w:lang w:eastAsia="hi-IN" w:bidi="hi-IN"/>
        </w:rPr>
      </w:pPr>
      <w:r w:rsidRPr="00741395">
        <w:rPr>
          <w:lang w:val="hr-HR" w:eastAsia="hi-IN" w:bidi="hi-IN"/>
        </w:rPr>
        <w:t>Povr</w:t>
      </w:r>
      <w:r w:rsidR="00741395" w:rsidRPr="00741395">
        <w:rPr>
          <w:lang w:val="hr-HR" w:eastAsia="hi-IN" w:bidi="hi-IN"/>
        </w:rPr>
        <w:t>šine koje treba osvijetliti nalaze se u</w:t>
      </w:r>
      <w:r w:rsidRPr="00741395">
        <w:rPr>
          <w:lang w:val="hr-HR" w:eastAsia="hi-IN" w:bidi="hi-IN"/>
        </w:rPr>
        <w:t xml:space="preserve"> naseljenim mjestima</w:t>
      </w:r>
      <w:r w:rsidR="00741395" w:rsidRPr="00741395">
        <w:rPr>
          <w:lang w:val="hr-HR" w:eastAsia="hi-IN" w:bidi="hi-IN"/>
        </w:rPr>
        <w:t xml:space="preserve"> (</w:t>
      </w:r>
      <w:r w:rsidRPr="0073395E">
        <w:rPr>
          <w:lang w:eastAsia="hi-IN" w:bidi="hi-IN"/>
        </w:rPr>
        <w:t>magistralne i regionalne ceste</w:t>
      </w:r>
      <w:r w:rsidR="00741395">
        <w:rPr>
          <w:lang w:eastAsia="hi-IN" w:bidi="hi-IN"/>
        </w:rPr>
        <w:t xml:space="preserve">, gradske i lokalne saobraćajnice, </w:t>
      </w:r>
      <w:r w:rsidRPr="0073395E">
        <w:rPr>
          <w:lang w:eastAsia="hi-IN" w:bidi="hi-IN"/>
        </w:rPr>
        <w:t>javne trgov</w:t>
      </w:r>
      <w:r w:rsidR="00741395">
        <w:rPr>
          <w:lang w:eastAsia="hi-IN" w:bidi="hi-IN"/>
        </w:rPr>
        <w:t>i</w:t>
      </w:r>
      <w:r w:rsidR="001D5E36">
        <w:rPr>
          <w:lang w:eastAsia="hi-IN" w:bidi="hi-IN"/>
        </w:rPr>
        <w:t xml:space="preserve">, </w:t>
      </w:r>
      <w:r w:rsidR="00741395">
        <w:rPr>
          <w:lang w:eastAsia="hi-IN" w:bidi="hi-IN"/>
        </w:rPr>
        <w:t xml:space="preserve">parkovi, </w:t>
      </w:r>
      <w:r w:rsidR="001D5E36">
        <w:rPr>
          <w:lang w:eastAsia="hi-IN" w:bidi="hi-IN"/>
        </w:rPr>
        <w:t>školska dvorišta</w:t>
      </w:r>
      <w:r w:rsidR="00741395">
        <w:rPr>
          <w:lang w:eastAsia="hi-IN" w:bidi="hi-IN"/>
        </w:rPr>
        <w:t xml:space="preserve">, javna parkirališta, itd.) i izvan </w:t>
      </w:r>
      <w:r w:rsidR="00741395" w:rsidRPr="00741395">
        <w:rPr>
          <w:lang w:val="hr-HR" w:eastAsia="hi-IN" w:bidi="hi-IN"/>
        </w:rPr>
        <w:t xml:space="preserve">naseljenih mjesta (saobraćajnice, </w:t>
      </w:r>
      <w:r w:rsidR="00741395">
        <w:rPr>
          <w:lang w:eastAsia="hi-IN" w:bidi="hi-IN"/>
        </w:rPr>
        <w:t>zaobilaznice, tuneli, galerije, autobusna stajališta</w:t>
      </w:r>
      <w:r w:rsidR="00450F30">
        <w:rPr>
          <w:lang w:eastAsia="hi-IN" w:bidi="hi-IN"/>
        </w:rPr>
        <w:t>, prijelazi željezničke pruge, itd.).</w:t>
      </w:r>
    </w:p>
    <w:p w:rsidR="00450F30" w:rsidRPr="00A01D01" w:rsidRDefault="0073395E" w:rsidP="00750FA5">
      <w:pPr>
        <w:rPr>
          <w:lang w:val="hr-HR" w:eastAsia="hi-IN" w:bidi="hi-IN"/>
        </w:rPr>
      </w:pPr>
      <w:r w:rsidRPr="0094519D">
        <w:rPr>
          <w:lang w:val="hr-HR" w:eastAsia="hi-IN" w:bidi="hi-IN"/>
        </w:rPr>
        <w:t xml:space="preserve">Instalacije javne rasvjete treba izgraditi uz planirane saobraćajnice i druge javne površine (parkirališta, pješačke staze). Napajanje sistema javne rasvjete vršiće se iz razvodnog polja javne rasvjete u pripadajućim postojećim i novoplaniranim TS 10(20)/0,4 kV i/ili iz ormara javne rasvjete. </w:t>
      </w:r>
    </w:p>
    <w:p w:rsidR="003D3166" w:rsidRPr="003D3166" w:rsidRDefault="003D3166" w:rsidP="00AD59CB">
      <w:pPr>
        <w:pStyle w:val="Heading4"/>
        <w:rPr>
          <w:lang w:val="hr-HR" w:eastAsia="hi-IN" w:bidi="hi-IN"/>
        </w:rPr>
      </w:pPr>
      <w:bookmarkStart w:id="78" w:name="_Toc500140029"/>
      <w:r w:rsidRPr="003D3166">
        <w:rPr>
          <w:lang w:val="hr-HR" w:eastAsia="hi-IN" w:bidi="hi-IN"/>
        </w:rPr>
        <w:t>Obnovljivi izvori energije i energetska efikasnost</w:t>
      </w:r>
      <w:bookmarkEnd w:id="78"/>
      <w:r w:rsidRPr="003D3166">
        <w:rPr>
          <w:lang w:val="hr-HR" w:eastAsia="hi-IN" w:bidi="hi-IN"/>
        </w:rPr>
        <w:t xml:space="preserve"> </w:t>
      </w:r>
    </w:p>
    <w:p w:rsidR="003D3166" w:rsidRPr="0094519D" w:rsidRDefault="003D3166" w:rsidP="00750FA5">
      <w:pPr>
        <w:rPr>
          <w:lang w:val="hr-HR" w:eastAsia="hi-IN" w:bidi="hi-IN"/>
        </w:rPr>
      </w:pPr>
      <w:r w:rsidRPr="0094519D">
        <w:rPr>
          <w:lang w:val="hr-HR" w:eastAsia="hi-IN" w:bidi="hi-IN"/>
        </w:rPr>
        <w:t xml:space="preserve">Općina Kalesija treba u budućnosti kod planiranja energetskih potreba sve više primijenjivati održivo planiranje i korištenje energijskih resursa. U skladu s planom višeg reda i sve jasnijim činjenicama da se snabdijevanje električnom energijom kao i njenom potrošnjom mora drastično promijeniti, potrebno je poticati izgradnju obnovljivih izvora energije (OIE). Obnovljivi izvori energije imaju vrlo važnu ulogu u smanjenju emisije ugljičnog dioksida (CO2) u atmosferu. Smanjenje emisije CO2 u atmosferu je i politika Europske unije koju je prihvatila i BiH. Generalno, upotreba fosilnih goriva, te neracionalno korištenje energije, pored ekoloških, imaju i veliki ekonomski i socijalni efekat. </w:t>
      </w:r>
    </w:p>
    <w:p w:rsidR="003D3166" w:rsidRPr="0094519D" w:rsidRDefault="003D3166" w:rsidP="00750FA5">
      <w:pPr>
        <w:rPr>
          <w:lang w:val="hr-HR" w:eastAsia="ar-SA"/>
        </w:rPr>
      </w:pPr>
      <w:r w:rsidRPr="0094519D">
        <w:rPr>
          <w:lang w:val="hr-HR" w:eastAsia="ar-SA"/>
        </w:rPr>
        <w:t xml:space="preserve">Budući da se općina Kalesija </w:t>
      </w:r>
      <w:r w:rsidR="00683173">
        <w:rPr>
          <w:lang w:val="hr-HR" w:eastAsia="ar-SA"/>
        </w:rPr>
        <w:t>nalazi</w:t>
      </w:r>
      <w:r w:rsidRPr="0094519D">
        <w:rPr>
          <w:lang w:val="hr-HR" w:eastAsia="ar-SA"/>
        </w:rPr>
        <w:t xml:space="preserve"> u području sa prosječnom godišnjom iradijacijom sunca na horizontalnu površinu između 1350 i 1400 kWh/m</w:t>
      </w:r>
      <w:r w:rsidR="00450F30" w:rsidRPr="00450F30">
        <w:rPr>
          <w:szCs w:val="14"/>
          <w:vertAlign w:val="superscript"/>
          <w:lang w:val="hr-HR" w:eastAsia="ar-SA"/>
        </w:rPr>
        <w:t>2</w:t>
      </w:r>
      <w:r w:rsidRPr="0094519D">
        <w:rPr>
          <w:lang w:val="hr-HR" w:eastAsia="ar-SA"/>
        </w:rPr>
        <w:t xml:space="preserve">, </w:t>
      </w:r>
      <w:r w:rsidR="00683173">
        <w:rPr>
          <w:lang w:val="hr-HR" w:eastAsia="ar-SA"/>
        </w:rPr>
        <w:t>postoje</w:t>
      </w:r>
      <w:r w:rsidRPr="0094519D">
        <w:rPr>
          <w:lang w:val="hr-HR" w:eastAsia="ar-SA"/>
        </w:rPr>
        <w:t xml:space="preserve"> povoljna </w:t>
      </w:r>
      <w:r w:rsidR="00683173">
        <w:rPr>
          <w:lang w:val="hr-HR" w:eastAsia="ar-SA"/>
        </w:rPr>
        <w:t>uslovi</w:t>
      </w:r>
      <w:r w:rsidRPr="0094519D">
        <w:rPr>
          <w:lang w:val="hr-HR" w:eastAsia="ar-SA"/>
        </w:rPr>
        <w:t xml:space="preserve"> za iskorištenje ovoga potencijala. Do sada </w:t>
      </w:r>
      <w:r w:rsidR="00683173">
        <w:rPr>
          <w:lang w:val="hr-HR" w:eastAsia="ar-SA"/>
        </w:rPr>
        <w:t xml:space="preserve">je </w:t>
      </w:r>
      <w:r w:rsidRPr="0094519D">
        <w:rPr>
          <w:lang w:val="hr-HR" w:eastAsia="ar-SA"/>
        </w:rPr>
        <w:t>na području općine Ka</w:t>
      </w:r>
      <w:r>
        <w:rPr>
          <w:lang w:val="hr-HR" w:eastAsia="ar-SA"/>
        </w:rPr>
        <w:t xml:space="preserve">lesija izgrađena jedna foto </w:t>
      </w:r>
      <w:r w:rsidRPr="0094519D">
        <w:rPr>
          <w:lang w:val="hr-HR" w:eastAsia="ar-SA"/>
        </w:rPr>
        <w:t>elektrana u vlasništvu firme EKO ENERGIJA d.o.o. Kalesija, snage 150 k</w:t>
      </w:r>
      <w:r w:rsidR="00683173">
        <w:rPr>
          <w:lang w:val="hr-HR" w:eastAsia="ar-SA"/>
        </w:rPr>
        <w:t>VA, a koja je u funkciji</w:t>
      </w:r>
      <w:r w:rsidRPr="0094519D">
        <w:rPr>
          <w:lang w:val="hr-HR" w:eastAsia="ar-SA"/>
        </w:rPr>
        <w:t xml:space="preserve"> od marta 2012 go</w:t>
      </w:r>
      <w:r>
        <w:rPr>
          <w:lang w:val="hr-HR" w:eastAsia="ar-SA"/>
        </w:rPr>
        <w:t>dine. Pored nje planirana je izgradnja i foto elektrane IZAZOV1</w:t>
      </w:r>
      <w:r w:rsidRPr="0094519D">
        <w:rPr>
          <w:lang w:val="hr-HR" w:eastAsia="ar-SA"/>
        </w:rPr>
        <w:t>, zatim fotoelektrane SPREČA.</w:t>
      </w:r>
    </w:p>
    <w:p w:rsidR="003D3166" w:rsidRPr="0094519D" w:rsidRDefault="00683173" w:rsidP="00750FA5">
      <w:pPr>
        <w:rPr>
          <w:lang w:val="hr-HR" w:eastAsia="ar-SA"/>
        </w:rPr>
      </w:pPr>
      <w:r>
        <w:rPr>
          <w:lang w:val="hr-HR" w:eastAsia="ar-SA"/>
        </w:rPr>
        <w:t>U oblasti</w:t>
      </w:r>
      <w:r w:rsidR="003D3166" w:rsidRPr="0094519D">
        <w:rPr>
          <w:lang w:val="hr-HR" w:eastAsia="ar-SA"/>
        </w:rPr>
        <w:t xml:space="preserve"> proizvodnje električne energije iz obnovljivih izvora u toku je pribavljanje potrebnih saglasnosti-dozvola za izgradnju četiri male elektrane na biogas</w:t>
      </w:r>
      <w:r w:rsidR="003D3166">
        <w:rPr>
          <w:lang w:val="hr-HR" w:eastAsia="ar-SA"/>
        </w:rPr>
        <w:t>, i</w:t>
      </w:r>
      <w:r w:rsidR="003D3166" w:rsidRPr="0094519D">
        <w:rPr>
          <w:lang w:val="hr-HR" w:eastAsia="ar-SA"/>
        </w:rPr>
        <w:t xml:space="preserve"> to SPREČA 1, SPREČA 2, SPREČA 3 i SPREČA 4, sv</w:t>
      </w:r>
      <w:r>
        <w:rPr>
          <w:lang w:val="hr-HR" w:eastAsia="ar-SA"/>
        </w:rPr>
        <w:t>aka</w:t>
      </w:r>
      <w:r w:rsidR="003D3166" w:rsidRPr="0094519D">
        <w:rPr>
          <w:lang w:val="hr-HR" w:eastAsia="ar-SA"/>
        </w:rPr>
        <w:t xml:space="preserve"> snage po 150 kVA</w:t>
      </w:r>
      <w:r>
        <w:rPr>
          <w:lang w:val="hr-HR" w:eastAsia="ar-SA"/>
        </w:rPr>
        <w:t>,</w:t>
      </w:r>
      <w:r w:rsidR="003D3166" w:rsidRPr="0094519D">
        <w:rPr>
          <w:lang w:val="hr-HR" w:eastAsia="ar-SA"/>
        </w:rPr>
        <w:t xml:space="preserve"> a gradiće se na lokaciji Farme u D.Vukovijama.</w:t>
      </w:r>
    </w:p>
    <w:p w:rsidR="00450F30" w:rsidRDefault="003D3166" w:rsidP="00750FA5">
      <w:pPr>
        <w:rPr>
          <w:lang w:val="hr-HR" w:eastAsia="ar-SA"/>
        </w:rPr>
      </w:pPr>
      <w:r w:rsidRPr="0094519D">
        <w:rPr>
          <w:lang w:val="hr-HR" w:eastAsia="ar-SA"/>
        </w:rPr>
        <w:t>U općini Kalesija je široko rasprostranjena i biomasa, s odličnim tehničkim potencijalom. Šume i šumska zemljišta opštine Kalesija zauzimaju P=7.807,41 ha. U okviru šumarske privrede, organizovane kroz eksploataciju u šumarstvu i drvoprerađivačku industriju, nastaje drvni otpad čije je odlaganje u prošlosti predstavljalo veliki problem. Danas se sav pomenuti otpad prerađuje kroz i</w:t>
      </w:r>
      <w:r w:rsidR="00683173">
        <w:rPr>
          <w:lang w:val="hr-HR" w:eastAsia="ar-SA"/>
        </w:rPr>
        <w:t>zradu briketa i peleta za ogrjev</w:t>
      </w:r>
      <w:r w:rsidRPr="0094519D">
        <w:rPr>
          <w:lang w:val="hr-HR" w:eastAsia="ar-SA"/>
        </w:rPr>
        <w:t>. Također,</w:t>
      </w:r>
      <w:r w:rsidR="00683173">
        <w:rPr>
          <w:lang w:val="hr-HR" w:eastAsia="ar-SA"/>
        </w:rPr>
        <w:t xml:space="preserve"> </w:t>
      </w:r>
      <w:r w:rsidRPr="0094519D">
        <w:rPr>
          <w:lang w:val="hr-HR" w:eastAsia="ar-SA"/>
        </w:rPr>
        <w:t>ovo daje mogućnost da se lokalne zajednice razviju u pravcu proiz</w:t>
      </w:r>
      <w:r w:rsidR="00450F30">
        <w:rPr>
          <w:lang w:val="hr-HR" w:eastAsia="ar-SA"/>
        </w:rPr>
        <w:t>vodnje goriva iz drvne biomase.</w:t>
      </w:r>
    </w:p>
    <w:p w:rsidR="005F56C3" w:rsidRDefault="003D3166" w:rsidP="00750FA5">
      <w:pPr>
        <w:rPr>
          <w:lang w:val="hr-HR" w:eastAsia="ar-SA"/>
        </w:rPr>
      </w:pPr>
      <w:r w:rsidRPr="0094519D">
        <w:rPr>
          <w:lang w:val="hr-HR" w:eastAsia="ar-SA"/>
        </w:rPr>
        <w:t>Vrlo važan faktor u oblasti energije je i povećanje efikasnog korištenja iste</w:t>
      </w:r>
      <w:r w:rsidR="00683173">
        <w:rPr>
          <w:lang w:val="hr-HR" w:eastAsia="ar-SA"/>
        </w:rPr>
        <w:t xml:space="preserve"> uvođenjem novih urađaja, mjera i ponašanja</w:t>
      </w:r>
      <w:r w:rsidRPr="0094519D">
        <w:rPr>
          <w:lang w:val="hr-HR" w:eastAsia="ar-SA"/>
        </w:rPr>
        <w:t>. Potrebno je ulagati u povećanje efikasnosti korištenja energije, a ne samo u nove izvore energije. Sektor potrošnje energije neće moći da plaća sve skuplju i skuplju energiju i to će se odraziti na pr</w:t>
      </w:r>
      <w:r w:rsidR="00683173">
        <w:rPr>
          <w:lang w:val="hr-HR" w:eastAsia="ar-SA"/>
        </w:rPr>
        <w:t xml:space="preserve">ivređivanje energetskog sektora i </w:t>
      </w:r>
      <w:r w:rsidRPr="0094519D">
        <w:rPr>
          <w:lang w:val="hr-HR" w:eastAsia="ar-SA"/>
        </w:rPr>
        <w:t>uspor</w:t>
      </w:r>
      <w:r w:rsidR="00683173">
        <w:rPr>
          <w:lang w:val="hr-HR" w:eastAsia="ar-SA"/>
        </w:rPr>
        <w:t>en</w:t>
      </w:r>
      <w:r w:rsidRPr="0094519D">
        <w:rPr>
          <w:lang w:val="hr-HR" w:eastAsia="ar-SA"/>
        </w:rPr>
        <w:t xml:space="preserve"> razvoj cijele države. Energetski sektor može opstati na tržištu samo ukoliko on, po</w:t>
      </w:r>
      <w:r>
        <w:rPr>
          <w:lang w:val="hr-HR" w:eastAsia="ar-SA"/>
        </w:rPr>
        <w:t>t</w:t>
      </w:r>
      <w:r w:rsidRPr="0094519D">
        <w:rPr>
          <w:lang w:val="hr-HR" w:eastAsia="ar-SA"/>
        </w:rPr>
        <w:t>pomognut državnom administracijom, vodi računa da se u sektoru potrošnje smanji specifična potrošnja energije kroz povećanje efikasnosti njenog korištenja.</w:t>
      </w:r>
    </w:p>
    <w:p w:rsidR="00683173" w:rsidRPr="0094519D" w:rsidRDefault="00D6393D" w:rsidP="00750FA5">
      <w:pPr>
        <w:suppressAutoHyphens/>
        <w:autoSpaceDE w:val="0"/>
        <w:rPr>
          <w:rFonts w:eastAsia="Times New Roman" w:cs="Calibri"/>
          <w:color w:val="000000"/>
          <w:kern w:val="2"/>
          <w:lang w:val="hr-HR" w:eastAsia="ar-SA"/>
        </w:rPr>
      </w:pPr>
      <w:r w:rsidRPr="00D6393D">
        <w:rPr>
          <w:rFonts w:eastAsia="Times New Roman" w:cs="Calibri"/>
          <w:color w:val="000000"/>
          <w:kern w:val="2"/>
          <w:lang w:val="hr-HR" w:eastAsia="ar-SA"/>
        </w:rPr>
        <w:t>Općina Kalesija je u dosadašnjem periodu izvršila utopljavanje objekta općine Kalesija (Admnistrativna zgrada) i objekta "Dom mladih" Kalesija, dok se u narednom periodu planira utopljavanje zgrade JU Centar za socijalni rad.</w:t>
      </w:r>
      <w:r>
        <w:rPr>
          <w:rFonts w:eastAsia="Times New Roman" w:cs="Calibri"/>
          <w:color w:val="000000"/>
          <w:kern w:val="2"/>
          <w:lang w:val="hr-HR" w:eastAsia="ar-SA"/>
        </w:rPr>
        <w:t xml:space="preserve"> </w:t>
      </w:r>
      <w:r w:rsidRPr="00D6393D">
        <w:rPr>
          <w:rFonts w:eastAsia="Times New Roman" w:cs="Calibri"/>
          <w:color w:val="000000"/>
          <w:kern w:val="2"/>
          <w:lang w:val="hr-HR" w:eastAsia="ar-SA"/>
        </w:rPr>
        <w:t>Pored toga, u naredne dvije godine, općina planira u saradnji sa vlasnicima stambenih jedinica u objektima kolektivnog stanovanja na području Kalesija Grada, Memića, Tojšića i Rainaca Gornjih izvršiti utopljavanje stambenih i stambeno-poslovnih objekata kolektivnog stanovanja.</w:t>
      </w:r>
    </w:p>
    <w:p w:rsidR="003D3166" w:rsidRPr="003D3166" w:rsidRDefault="003D3166" w:rsidP="00AD59CB">
      <w:pPr>
        <w:pStyle w:val="Heading4"/>
        <w:rPr>
          <w:szCs w:val="24"/>
          <w:lang w:val="hr-HR" w:eastAsia="ar-SA"/>
        </w:rPr>
      </w:pPr>
      <w:bookmarkStart w:id="79" w:name="_Toc500140030"/>
      <w:r w:rsidRPr="003D3166">
        <w:rPr>
          <w:lang w:val="hr-HR" w:eastAsia="ar-SA"/>
        </w:rPr>
        <w:lastRenderedPageBreak/>
        <w:t>Gasifikacija</w:t>
      </w:r>
      <w:bookmarkEnd w:id="79"/>
      <w:r w:rsidRPr="003D3166">
        <w:rPr>
          <w:szCs w:val="24"/>
          <w:lang w:val="hr-HR" w:eastAsia="ar-SA"/>
        </w:rPr>
        <w:t xml:space="preserve"> </w:t>
      </w:r>
    </w:p>
    <w:p w:rsidR="003D3166" w:rsidRPr="0094519D" w:rsidRDefault="003D3166" w:rsidP="00750FA5">
      <w:pPr>
        <w:rPr>
          <w:lang w:val="hr-HR" w:eastAsia="ar-SA"/>
        </w:rPr>
      </w:pPr>
      <w:r w:rsidRPr="0094519D">
        <w:rPr>
          <w:lang w:val="hr-HR" w:eastAsia="ar-SA"/>
        </w:rPr>
        <w:t xml:space="preserve">Planirano je utvrđivanje potreba i izgradnja gasovodnog sistema na području Tuzlanskog kantona, koji bi bio povezan u jedinstveni sistem BiH (pravac Zvornik -Tuzla, sa kantonalnim, odnosno regionalnim odvojcima, ili alternativa) kada se za to steknu uslovi. </w:t>
      </w:r>
    </w:p>
    <w:p w:rsidR="00A5550D" w:rsidRPr="005F56C3" w:rsidRDefault="003D3166" w:rsidP="00750FA5">
      <w:pPr>
        <w:rPr>
          <w:lang w:val="hr-HR" w:eastAsia="ar-SA"/>
        </w:rPr>
      </w:pPr>
      <w:r w:rsidRPr="0094519D">
        <w:rPr>
          <w:lang w:val="hr-HR" w:eastAsia="ar-SA"/>
        </w:rPr>
        <w:t>Sa stanovišta gasifikacije jedan od prioriteta bi rebalo da bude izrada studije gasifikacije ovog prostora u kojoj bi se definisali regionalni odvojci jedinstvenog gasovodnog sistema BiH (gasovod iz pravca Zvornik – Tuzla). U ovom Prostornom planu prikazana je planirana trasa gasovoda koji bi trebao da se priključi na gasovod u Republici Srpskoj u mjestu Caparde. U grafičkom prikazu ucrtani su cjevovodi za snabdijevanje potrošača gasom kad se za to steknu uslovi. Mjesta priključenja na glavne cijevi dovoda gasa</w:t>
      </w:r>
      <w:r w:rsidR="00A5550D">
        <w:rPr>
          <w:lang w:val="hr-HR" w:eastAsia="ar-SA"/>
        </w:rPr>
        <w:t xml:space="preserve"> i</w:t>
      </w:r>
      <w:r w:rsidRPr="0094519D">
        <w:rPr>
          <w:lang w:val="hr-HR" w:eastAsia="ar-SA"/>
        </w:rPr>
        <w:t xml:space="preserve"> mjerno-regulacione stanice (sem jedne mjerno-regulacione stanice u mjestu Prnjavor), nisu određivani i bit će predmet studije gasifikacije ovog prostora. </w:t>
      </w:r>
    </w:p>
    <w:p w:rsidR="00B351D2" w:rsidRPr="00B351D2" w:rsidRDefault="00B351D2" w:rsidP="00AD59CB">
      <w:pPr>
        <w:pStyle w:val="Heading4"/>
        <w:rPr>
          <w:sz w:val="19"/>
          <w:szCs w:val="19"/>
          <w:lang w:val="hr-HR" w:eastAsia="ar-SA"/>
        </w:rPr>
      </w:pPr>
      <w:bookmarkStart w:id="80" w:name="_Toc500140031"/>
      <w:r w:rsidRPr="00B351D2">
        <w:rPr>
          <w:lang w:val="hr-HR" w:eastAsia="ar-SA"/>
        </w:rPr>
        <w:t>Termoenergetska infrastruktura</w:t>
      </w:r>
      <w:bookmarkEnd w:id="80"/>
    </w:p>
    <w:p w:rsidR="00B351D2" w:rsidRPr="0094519D" w:rsidRDefault="00B351D2" w:rsidP="00750FA5">
      <w:pPr>
        <w:rPr>
          <w:lang w:val="hr-HR" w:eastAsia="ar-SA"/>
        </w:rPr>
      </w:pPr>
      <w:r w:rsidRPr="0094519D">
        <w:rPr>
          <w:lang w:val="hr-HR" w:eastAsia="ar-SA"/>
        </w:rPr>
        <w:t>Općina Kalesija nema riješen sistem grijanja, te ne</w:t>
      </w:r>
      <w:r>
        <w:rPr>
          <w:lang w:val="hr-HR" w:eastAsia="ar-SA"/>
        </w:rPr>
        <w:t xml:space="preserve"> </w:t>
      </w:r>
      <w:r w:rsidRPr="0094519D">
        <w:rPr>
          <w:lang w:val="hr-HR" w:eastAsia="ar-SA"/>
        </w:rPr>
        <w:t xml:space="preserve">posjeduje ni gradsku toplanu, dok veći objekti imaju svoje kotlovnice preko kojih zagrijavanju korisni prostor unutar istih (zgrada Zvorničanka, fabrika UNIS-tok, fabrika Plastikal, stambeno-poslovni objekat Kahrimanović itd.). </w:t>
      </w:r>
    </w:p>
    <w:p w:rsidR="00116523" w:rsidRPr="0094519D" w:rsidRDefault="00B351D2" w:rsidP="00750FA5">
      <w:pPr>
        <w:rPr>
          <w:lang w:val="hr-HR" w:eastAsia="ar-SA"/>
        </w:rPr>
      </w:pPr>
      <w:r w:rsidRPr="0094519D">
        <w:rPr>
          <w:lang w:val="hr-HR" w:eastAsia="ar-SA"/>
        </w:rPr>
        <w:t xml:space="preserve">Neophodno je krenuti u širu toplifikaciju grada Kalesije, čime bi se poboljšali uslovi snabdijevanja toplotnom energijom stambenih i poslovnih objekata u centru Kalesije. Provođenjem projekta toplifikacije grada povećao bi se stepen pouzdanosti sistema, smanjili bi se gubici toplotne energije, a došlo bi i do povećanja kapaciteta i priključenja novih korisnika. </w:t>
      </w:r>
    </w:p>
    <w:p w:rsidR="009E58AE" w:rsidRPr="009E58AE" w:rsidRDefault="009E58AE" w:rsidP="00750FA5">
      <w:pPr>
        <w:rPr>
          <w:lang w:val="hr-HR" w:eastAsia="ar-SA"/>
        </w:rPr>
      </w:pPr>
      <w:r w:rsidRPr="00AF5116">
        <w:rPr>
          <w:lang w:val="hr-HR" w:eastAsia="ar-SA"/>
        </w:rPr>
        <w:t xml:space="preserve">Općina je Budžetom za </w:t>
      </w:r>
      <w:r>
        <w:rPr>
          <w:lang w:val="hr-HR" w:eastAsia="ar-SA"/>
        </w:rPr>
        <w:t>2017.</w:t>
      </w:r>
      <w:r w:rsidRPr="00AF5116">
        <w:rPr>
          <w:lang w:val="hr-HR" w:eastAsia="ar-SA"/>
        </w:rPr>
        <w:t xml:space="preserve"> godinu planirala izradu Studije izvodljivosti za gradsku toplanu koja će definisati najpovoljniju varijantu energenta za toplifikaciju te ekološke, socijalne,pravne i ekonomske opravdanosti.</w:t>
      </w:r>
      <w:r>
        <w:rPr>
          <w:lang w:val="hr-HR" w:eastAsia="ar-SA"/>
        </w:rPr>
        <w:t xml:space="preserve"> </w:t>
      </w:r>
      <w:r w:rsidR="00B351D2" w:rsidRPr="0094519D">
        <w:rPr>
          <w:lang w:val="hr-HR" w:eastAsia="ar-SA"/>
        </w:rPr>
        <w:t>Za planirane objekte u obuhvatu Prostornog</w:t>
      </w:r>
      <w:r w:rsidR="00A5550D">
        <w:rPr>
          <w:lang w:val="hr-HR" w:eastAsia="ar-SA"/>
        </w:rPr>
        <w:t xml:space="preserve"> plana općine </w:t>
      </w:r>
      <w:r w:rsidR="00B351D2" w:rsidRPr="0094519D">
        <w:rPr>
          <w:lang w:val="hr-HR" w:eastAsia="ar-SA"/>
        </w:rPr>
        <w:t>Kalesija</w:t>
      </w:r>
      <w:r w:rsidR="00A5550D">
        <w:rPr>
          <w:lang w:val="hr-HR" w:eastAsia="ar-SA"/>
        </w:rPr>
        <w:t>,</w:t>
      </w:r>
      <w:r w:rsidR="00B351D2" w:rsidRPr="0094519D">
        <w:rPr>
          <w:lang w:val="hr-HR" w:eastAsia="ar-SA"/>
        </w:rPr>
        <w:t xml:space="preserve"> za koje ne postoji ekonomska opravdanost za priklju</w:t>
      </w:r>
      <w:r w:rsidR="00A5550D">
        <w:rPr>
          <w:lang w:val="hr-HR" w:eastAsia="ar-SA"/>
        </w:rPr>
        <w:t>č</w:t>
      </w:r>
      <w:r w:rsidR="00B351D2" w:rsidRPr="0094519D">
        <w:rPr>
          <w:lang w:val="hr-HR" w:eastAsia="ar-SA"/>
        </w:rPr>
        <w:t>enje na daljinski sistem grijanja, gradnju objekata planirati tako da se zagrijavanje prostorija vrši iz individualnih toplotnih izvora bilo lokalnim loženjem po prostorijama ili toplovodnim kotlovima za centralno ili etažno grijanje, a po izboru vlasnika objekta. Konačan broj kotlovnica biće definisan kroz urbanističko - tehničke uslove, zavisno od ekonomske opravdanosti i interesa investitora da gradi reonske (jedna kotlovnica za više</w:t>
      </w:r>
      <w:r w:rsidR="00A5550D">
        <w:rPr>
          <w:lang w:val="hr-HR" w:eastAsia="ar-SA"/>
        </w:rPr>
        <w:t xml:space="preserve"> objekata)</w:t>
      </w:r>
      <w:r w:rsidR="00B351D2" w:rsidRPr="0094519D">
        <w:rPr>
          <w:lang w:val="hr-HR" w:eastAsia="ar-SA"/>
        </w:rPr>
        <w:t xml:space="preserve"> ili individualne (jedna kotlovnica jedan objekat) kotlovnice. Ako se steknu uslovi za priključenje objekata na gradski toplifikacioni sistem, opremu u kotlovnicama treba konzervirati ili rashodovati (u zavisnosti od stanja opreme), a u istim prostorijama instalisati toplotne stanice gra</w:t>
      </w:r>
      <w:r>
        <w:rPr>
          <w:lang w:val="hr-HR" w:eastAsia="ar-SA"/>
        </w:rPr>
        <w:t xml:space="preserve">dskog toplifikacionog sistema. </w:t>
      </w:r>
    </w:p>
    <w:p w:rsidR="00055F76" w:rsidRPr="00055F76" w:rsidRDefault="00055F76" w:rsidP="00AD59CB">
      <w:pPr>
        <w:pStyle w:val="Heading4"/>
        <w:rPr>
          <w:lang w:val="hr-HR" w:eastAsia="hi-IN" w:bidi="hi-IN"/>
        </w:rPr>
      </w:pPr>
      <w:bookmarkStart w:id="81" w:name="_Toc500140032"/>
      <w:r w:rsidRPr="00055F76">
        <w:rPr>
          <w:lang w:val="hr-HR" w:eastAsia="hi-IN" w:bidi="hi-IN"/>
        </w:rPr>
        <w:t>Saobraćaj</w:t>
      </w:r>
      <w:bookmarkEnd w:id="81"/>
    </w:p>
    <w:p w:rsidR="00055F76" w:rsidRPr="0094519D" w:rsidRDefault="00055F76" w:rsidP="00750FA5">
      <w:pPr>
        <w:rPr>
          <w:lang w:val="hr-HR" w:eastAsia="hi-IN" w:bidi="hi-IN"/>
        </w:rPr>
      </w:pPr>
      <w:r w:rsidRPr="0094519D">
        <w:rPr>
          <w:lang w:val="hr-HR" w:eastAsia="hi-IN" w:bidi="hi-IN"/>
        </w:rPr>
        <w:t xml:space="preserve">Općina Kalesija sa ostalim općinama unutar Kantona povezana je magistralnim i regionalnim cestama. </w:t>
      </w:r>
      <w:r w:rsidR="006968F5">
        <w:t>Dužina kategorizirane putne mreže iznosi 95 km, dok je gustina ove mreže na području općine 47,26 km/100 km², što je znatno iznad gustine modernizirane mreže u BiH</w:t>
      </w:r>
      <w:r w:rsidR="006968F5">
        <w:rPr>
          <w:rStyle w:val="FootnoteReference"/>
        </w:rPr>
        <w:footnoteReference w:id="48"/>
      </w:r>
      <w:r w:rsidR="006968F5">
        <w:t xml:space="preserve">. </w:t>
      </w:r>
      <w:r w:rsidRPr="0094519D">
        <w:rPr>
          <w:lang w:val="hr-HR" w:eastAsia="hi-IN" w:bidi="hi-IN"/>
        </w:rPr>
        <w:t xml:space="preserve">Ove ceste se pretežno protežu urbanim područjima što utiče na smanjenje brzine kretanja na njima i povećanja vremena putovanja. Magistralna cesta M 14 (Granica entiteta-Gračanica-Lukavac-Šićki Brod-Tuzla-Simin Han-Međa-Kalesija-granica entiteta) prolazi kroz središnju zonu općine i uz istu je formirano niz naselja te ova saobraćajnica prestavlja glavnu komunikaciju. Izgradnjom naselja duž magistralne ceste došlo je do smanjenja kapaciteta te znatnog povećanja saobraćajnih nezgoda. Iz navedenog se vidi da je neophodno da se izmjesti tranzitni saobraćaj, obzirom da postojeća magistrala prerasta u gradsku saobraćajnicu i nema svoju prvobitnu namjenu tranzita. Pored ove saobraćajnice postoje i regionalne ceste koje povezuju općinu Kalesija sa susjednim općinama i gradovima. Takođe i regionalne saobraćajnice prolaze izgrađenim prostorom što utiče na odvijanje saobraćaja. Ovaj problem je izražen na regionalnom pravcu </w:t>
      </w:r>
      <w:r w:rsidRPr="0094519D">
        <w:rPr>
          <w:lang w:val="hr-HR" w:eastAsia="hi-IN" w:bidi="hi-IN"/>
        </w:rPr>
        <w:lastRenderedPageBreak/>
        <w:t xml:space="preserve">R469 Živinice – Dubrave – Međaš koji prolazi kroz naseljena mjesta Dubrave i Vukovije donje, što utiče na odvijanje saobraćaja te je i na ovom pravcu predviđeno izmještanje trase (obilaznica). </w:t>
      </w:r>
    </w:p>
    <w:p w:rsidR="00055F76" w:rsidRPr="005F56C3" w:rsidRDefault="00055F76" w:rsidP="00750FA5">
      <w:pPr>
        <w:rPr>
          <w:color w:val="008000"/>
          <w:lang w:val="hr-HR" w:eastAsia="hi-IN" w:bidi="hi-IN"/>
        </w:rPr>
      </w:pPr>
      <w:r w:rsidRPr="0094519D">
        <w:rPr>
          <w:lang w:val="hr-HR" w:eastAsia="hi-IN" w:bidi="hi-IN"/>
        </w:rPr>
        <w:t>Planirana mreža saobraćaja</w:t>
      </w:r>
      <w:r w:rsidR="00C93E02">
        <w:rPr>
          <w:lang w:val="hr-HR" w:eastAsia="hi-IN" w:bidi="hi-IN"/>
        </w:rPr>
        <w:t>, prema Prostornom planu,</w:t>
      </w:r>
      <w:r w:rsidRPr="0094519D">
        <w:rPr>
          <w:lang w:val="hr-HR" w:eastAsia="hi-IN" w:bidi="hi-IN"/>
        </w:rPr>
        <w:t xml:space="preserve"> omogućava širenje urbanog dijela ka periferiji te kvalitetniju vezu općine sa susjednim gradovima. </w:t>
      </w:r>
    </w:p>
    <w:p w:rsidR="00055F76" w:rsidRPr="00D24BE9" w:rsidRDefault="00055F76" w:rsidP="00AD59CB">
      <w:pPr>
        <w:pStyle w:val="Heading5"/>
        <w:rPr>
          <w:rFonts w:eastAsiaTheme="minorHAnsi" w:cstheme="minorBidi"/>
          <w:lang w:val="hr-HR" w:eastAsia="hi-IN" w:bidi="hi-IN"/>
        </w:rPr>
      </w:pPr>
      <w:r w:rsidRPr="00D24BE9">
        <w:rPr>
          <w:lang w:val="hr-HR" w:eastAsia="hi-IN" w:bidi="hi-IN"/>
        </w:rPr>
        <w:t>Povezanost TK sa Federacijom BiH</w:t>
      </w:r>
    </w:p>
    <w:p w:rsidR="00055F76" w:rsidRPr="0094519D" w:rsidRDefault="00055F76" w:rsidP="00750FA5">
      <w:pPr>
        <w:rPr>
          <w:lang w:val="hr-HR" w:eastAsia="hi-IN" w:bidi="hi-IN"/>
        </w:rPr>
      </w:pPr>
      <w:r w:rsidRPr="00055F76">
        <w:t xml:space="preserve">Postojeća mreža drumskog i željezničkog saobraćaja Tuzlanskog kantona kojom se povezuje kanton sa ostalim kantonima unutar Federacije BiH je u prilično lošem stanju. Postojeće Magistralne ceste ne zadovoljavaju potrebe saobraćaja koji se odvija na njima. </w:t>
      </w:r>
    </w:p>
    <w:p w:rsidR="00055F76" w:rsidRPr="00E8044B" w:rsidRDefault="00055F76" w:rsidP="00750FA5">
      <w:pPr>
        <w:rPr>
          <w:lang w:val="hr-HR" w:eastAsia="hi-IN" w:bidi="hi-IN"/>
        </w:rPr>
      </w:pPr>
      <w:r w:rsidRPr="0094519D">
        <w:rPr>
          <w:lang w:val="hr-HR" w:eastAsia="hi-IN" w:bidi="hi-IN"/>
        </w:rPr>
        <w:t>Željeznička mreža u Općini Kalesija i TK-u, trenutno ne pruža velike mogućnosti, zbog posljedica ratnih devastacija, tehničke zastarjelosti postrojenja i opreme.</w:t>
      </w:r>
      <w:r w:rsidR="00C93E02">
        <w:rPr>
          <w:lang w:val="hr-HR" w:eastAsia="hi-IN" w:bidi="hi-IN"/>
        </w:rPr>
        <w:t xml:space="preserve"> </w:t>
      </w:r>
      <w:r w:rsidRPr="0094519D">
        <w:rPr>
          <w:lang w:val="hr-HR" w:eastAsia="hi-IN" w:bidi="hi-IN"/>
        </w:rPr>
        <w:t xml:space="preserve">Aktivan je dio željezničke mreže na pravcu Brčko – Tuzla – Banovići, dok je pravac Tuzla – Doboj još neaktivan. Željeznička pruga Tuzla – Brčko i dalje daje mogućnost povezivanja sa Srednjom Evropom preko Republike Hrvatske, a Tuzla – Doboj, sa drugim dijelovima BiH i Jadranskim morem, te lukom Ploče, dok Tuzla – Zvornik daje izlaz na teritoriju Republike Srbije (i Crne Gore). </w:t>
      </w:r>
    </w:p>
    <w:p w:rsidR="00055F76" w:rsidRPr="00D24BE9" w:rsidRDefault="00055F76" w:rsidP="00AD59CB">
      <w:pPr>
        <w:pStyle w:val="Heading5"/>
        <w:rPr>
          <w:lang w:val="hr-HR" w:eastAsia="hi-IN" w:bidi="hi-IN"/>
        </w:rPr>
      </w:pPr>
      <w:r w:rsidRPr="00D24BE9">
        <w:rPr>
          <w:lang w:val="hr-HR" w:eastAsia="hi-IN" w:bidi="hi-IN"/>
        </w:rPr>
        <w:t>Povezanost saobraćajnica unutar kantona</w:t>
      </w:r>
    </w:p>
    <w:p w:rsidR="00055F76" w:rsidRPr="0094519D" w:rsidRDefault="00055F76" w:rsidP="00A01D01">
      <w:pPr>
        <w:rPr>
          <w:lang w:val="hr-HR" w:eastAsia="hi-IN" w:bidi="hi-IN"/>
        </w:rPr>
      </w:pPr>
      <w:r w:rsidRPr="0094519D">
        <w:rPr>
          <w:lang w:val="hr-HR" w:eastAsia="hi-IN" w:bidi="hi-IN"/>
        </w:rPr>
        <w:t xml:space="preserve">Grad Kalesija sa ostalim gradovima unutar kantona povezan je magistralnim i regionalnim cestama. Ove ceste se pretežno protežu urbanim područjima gradova što utiče na smanjenje brzine kretanja na njima odnosno povećanja vremena putovanja. Studijom saobraćaja za Kanton trebale bi se dobiti upute oko potrebnih mjera koje je potrebno provesti kako bi se ostvarili povoljniji uslovi povezivanja gradova unutar kantona. Saobraćajna studija daje potrebne podatke i preporuke za prijedloge sanacije postojećih i uvođenje novih pravaca. </w:t>
      </w:r>
    </w:p>
    <w:p w:rsidR="00055F76" w:rsidRPr="004C732A" w:rsidRDefault="00055F76" w:rsidP="00AD59CB">
      <w:pPr>
        <w:pStyle w:val="Heading5"/>
        <w:rPr>
          <w:rFonts w:ascii="Times New Roman" w:hAnsi="Times New Roman" w:cs="Times New Roman"/>
          <w:lang w:val="hr-HR" w:eastAsia="hi-IN" w:bidi="hi-IN"/>
        </w:rPr>
      </w:pPr>
      <w:r w:rsidRPr="00D24BE9">
        <w:rPr>
          <w:lang w:val="hr-HR" w:eastAsia="hi-IN" w:bidi="hi-IN"/>
        </w:rPr>
        <w:t>Saobraćaj unutar općine Kalesija</w:t>
      </w:r>
    </w:p>
    <w:p w:rsidR="00092E44" w:rsidRPr="00A01D01" w:rsidRDefault="00055F76" w:rsidP="00A01D01">
      <w:pPr>
        <w:rPr>
          <w:lang w:val="hr-HR" w:eastAsia="hi-IN" w:bidi="hi-IN"/>
        </w:rPr>
      </w:pPr>
      <w:r w:rsidRPr="0094519D">
        <w:rPr>
          <w:lang w:val="hr-HR" w:eastAsia="hi-IN" w:bidi="hi-IN"/>
        </w:rPr>
        <w:t>Saobraćaj unutar općine odvija se uglavnom saobraćajnicama ranga magistralne, regionalne i lokalne ceste, saobraćajnice višeg ranga autoceste i brze ceste nisu zastupljene. Gustina postojeće kategorisane mreže u općini Kalesija iznosi 84,77 km / 100 km</w:t>
      </w:r>
      <w:r w:rsidRPr="002820C9">
        <w:rPr>
          <w:szCs w:val="14"/>
          <w:vertAlign w:val="superscript"/>
          <w:lang w:val="hr-HR" w:eastAsia="hi-IN" w:bidi="hi-IN"/>
        </w:rPr>
        <w:t>2</w:t>
      </w:r>
      <w:r w:rsidRPr="0094519D">
        <w:rPr>
          <w:sz w:val="14"/>
          <w:szCs w:val="14"/>
          <w:lang w:val="hr-HR" w:eastAsia="hi-IN" w:bidi="hi-IN"/>
        </w:rPr>
        <w:t xml:space="preserve"> </w:t>
      </w:r>
      <w:r w:rsidRPr="0094519D">
        <w:rPr>
          <w:lang w:val="hr-HR" w:eastAsia="hi-IN" w:bidi="hi-IN"/>
        </w:rPr>
        <w:t>površine</w:t>
      </w:r>
      <w:r w:rsidR="002820C9">
        <w:rPr>
          <w:lang w:val="hr-HR" w:eastAsia="hi-IN" w:bidi="hi-IN"/>
        </w:rPr>
        <w:t xml:space="preserve"> </w:t>
      </w:r>
      <w:r w:rsidRPr="0094519D">
        <w:rPr>
          <w:lang w:val="hr-HR" w:eastAsia="hi-IN" w:bidi="hi-IN"/>
        </w:rPr>
        <w:t>što je više u odnosu na BiH za koju iznosi 54,7 km / 100 km</w:t>
      </w:r>
      <w:r w:rsidRPr="002820C9">
        <w:rPr>
          <w:szCs w:val="14"/>
          <w:vertAlign w:val="superscript"/>
          <w:lang w:val="hr-HR" w:eastAsia="hi-IN" w:bidi="hi-IN"/>
        </w:rPr>
        <w:t>2</w:t>
      </w:r>
      <w:r w:rsidRPr="0094519D">
        <w:rPr>
          <w:lang w:val="hr-HR" w:eastAsia="hi-IN" w:bidi="hi-IN"/>
        </w:rPr>
        <w:t>. Najviše su zastupljene lokalne ceste sa 81,60 % od ukupne dužine kategorisane mreže općine. U periodu 2013 i 2014 godina rađena je Studija kategorizacije casta Federacije BiH'' od str</w:t>
      </w:r>
      <w:r w:rsidR="002820C9">
        <w:rPr>
          <w:lang w:val="hr-HR" w:eastAsia="hi-IN" w:bidi="hi-IN"/>
        </w:rPr>
        <w:t>ane ''JP Ceste Federacije BiH''</w:t>
      </w:r>
      <w:r w:rsidRPr="0094519D">
        <w:rPr>
          <w:lang w:val="hr-HR" w:eastAsia="hi-IN" w:bidi="hi-IN"/>
        </w:rPr>
        <w:t>, u skladu sa ovim dokumentom u općini Kalesija došlo je do određenih izmjena</w:t>
      </w:r>
      <w:r w:rsidR="00133151">
        <w:rPr>
          <w:lang w:val="hr-HR" w:eastAsia="hi-IN" w:bidi="hi-IN"/>
        </w:rPr>
        <w:t>,</w:t>
      </w:r>
      <w:r w:rsidRPr="0094519D">
        <w:rPr>
          <w:lang w:val="hr-HR" w:eastAsia="hi-IN" w:bidi="hi-IN"/>
        </w:rPr>
        <w:t xml:space="preserve"> a u nastavku tabelarno je dat prikaz magistralnih i regionalnih cesta unutar općine u </w:t>
      </w:r>
      <w:r w:rsidR="00173CC4">
        <w:rPr>
          <w:lang w:val="hr-HR" w:eastAsia="hi-IN" w:bidi="hi-IN"/>
        </w:rPr>
        <w:t>skladu sa navedenim dokumentom</w:t>
      </w:r>
      <w:r w:rsidR="00133151">
        <w:rPr>
          <w:lang w:val="hr-HR" w:eastAsia="hi-IN" w:bidi="hi-IN"/>
        </w:rPr>
        <w:t xml:space="preserve"> (tabela 14)</w:t>
      </w:r>
      <w:r w:rsidR="00173CC4">
        <w:rPr>
          <w:lang w:val="hr-HR" w:eastAsia="hi-IN" w:bidi="hi-IN"/>
        </w:rPr>
        <w:t>.</w:t>
      </w:r>
    </w:p>
    <w:p w:rsidR="00BC1C88" w:rsidRPr="005F56C3" w:rsidRDefault="007B2938" w:rsidP="007B2938">
      <w:pPr>
        <w:pStyle w:val="GrafiTabele"/>
      </w:pPr>
      <w:r w:rsidRPr="00BC1C88">
        <w:t xml:space="preserve">Tabela </w:t>
      </w:r>
      <w:r w:rsidR="00133151">
        <w:t>14</w:t>
      </w:r>
      <w:r w:rsidR="00F05013">
        <w:t xml:space="preserve">: </w:t>
      </w:r>
      <w:r>
        <w:t>K</w:t>
      </w:r>
      <w:r w:rsidRPr="00F05013">
        <w:t xml:space="preserve">ategorizacija cesta </w:t>
      </w:r>
      <w:r>
        <w:t>u općini Kalesija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2011"/>
        <w:gridCol w:w="2011"/>
        <w:gridCol w:w="3511"/>
      </w:tblGrid>
      <w:tr w:rsidR="00055F76" w:rsidRPr="007B2938" w:rsidTr="007B2938">
        <w:trPr>
          <w:trHeight w:val="99"/>
          <w:jc w:val="center"/>
        </w:trPr>
        <w:tc>
          <w:tcPr>
            <w:tcW w:w="815" w:type="dxa"/>
            <w:shd w:val="clear" w:color="auto" w:fill="D9D9D9" w:themeFill="background1" w:themeFillShade="D9"/>
            <w:hideMark/>
          </w:tcPr>
          <w:p w:rsidR="00055F76" w:rsidRPr="007B2938" w:rsidRDefault="00047CE3" w:rsidP="00133151">
            <w:pPr>
              <w:pStyle w:val="TextinTables"/>
              <w:rPr>
                <w:b/>
              </w:rPr>
            </w:pPr>
            <w:r w:rsidRPr="007B2938">
              <w:rPr>
                <w:b/>
              </w:rPr>
              <w:t>R. Br.</w:t>
            </w:r>
          </w:p>
        </w:tc>
        <w:tc>
          <w:tcPr>
            <w:tcW w:w="2011" w:type="dxa"/>
            <w:shd w:val="clear" w:color="auto" w:fill="D9D9D9" w:themeFill="background1" w:themeFillShade="D9"/>
            <w:hideMark/>
          </w:tcPr>
          <w:p w:rsidR="00055F76" w:rsidRPr="007B2938" w:rsidRDefault="00055F76" w:rsidP="00133151">
            <w:pPr>
              <w:pStyle w:val="TextinTables"/>
              <w:rPr>
                <w:b/>
              </w:rPr>
            </w:pPr>
            <w:r w:rsidRPr="007B2938">
              <w:rPr>
                <w:b/>
              </w:rPr>
              <w:t xml:space="preserve">Nova oznaka ceste </w:t>
            </w:r>
          </w:p>
        </w:tc>
        <w:tc>
          <w:tcPr>
            <w:tcW w:w="2011" w:type="dxa"/>
            <w:shd w:val="clear" w:color="auto" w:fill="D9D9D9" w:themeFill="background1" w:themeFillShade="D9"/>
            <w:hideMark/>
          </w:tcPr>
          <w:p w:rsidR="00055F76" w:rsidRPr="007B2938" w:rsidRDefault="00055F76" w:rsidP="00133151">
            <w:pPr>
              <w:pStyle w:val="TextinTables"/>
              <w:rPr>
                <w:b/>
              </w:rPr>
            </w:pPr>
            <w:r w:rsidRPr="007B2938">
              <w:rPr>
                <w:b/>
              </w:rPr>
              <w:t xml:space="preserve">Stara oznaka ceste </w:t>
            </w:r>
          </w:p>
        </w:tc>
        <w:tc>
          <w:tcPr>
            <w:tcW w:w="3511" w:type="dxa"/>
            <w:shd w:val="clear" w:color="auto" w:fill="D9D9D9" w:themeFill="background1" w:themeFillShade="D9"/>
            <w:hideMark/>
          </w:tcPr>
          <w:p w:rsidR="00055F76" w:rsidRPr="007B2938" w:rsidRDefault="00055F76" w:rsidP="00133151">
            <w:pPr>
              <w:pStyle w:val="TextinTables"/>
              <w:rPr>
                <w:b/>
                <w:szCs w:val="24"/>
              </w:rPr>
            </w:pPr>
            <w:r w:rsidRPr="007B2938">
              <w:rPr>
                <w:b/>
              </w:rPr>
              <w:t xml:space="preserve">Dionica ceste </w:t>
            </w:r>
          </w:p>
        </w:tc>
      </w:tr>
      <w:tr w:rsidR="00055F76" w:rsidRPr="0094519D" w:rsidTr="007B2938">
        <w:trPr>
          <w:trHeight w:val="343"/>
          <w:jc w:val="center"/>
        </w:trPr>
        <w:tc>
          <w:tcPr>
            <w:tcW w:w="815" w:type="dxa"/>
            <w:shd w:val="clear" w:color="auto" w:fill="FFFFFF"/>
            <w:hideMark/>
          </w:tcPr>
          <w:p w:rsidR="00055F76" w:rsidRPr="0094519D" w:rsidRDefault="00055F76" w:rsidP="00133151">
            <w:pPr>
              <w:pStyle w:val="TextinTables"/>
            </w:pPr>
            <w:r w:rsidRPr="0094519D">
              <w:t xml:space="preserve">1. </w:t>
            </w:r>
          </w:p>
        </w:tc>
        <w:tc>
          <w:tcPr>
            <w:tcW w:w="2011" w:type="dxa"/>
            <w:shd w:val="clear" w:color="auto" w:fill="FFFFFF"/>
            <w:hideMark/>
          </w:tcPr>
          <w:p w:rsidR="00055F76" w:rsidRPr="0094519D" w:rsidRDefault="00055F76" w:rsidP="00133151">
            <w:pPr>
              <w:pStyle w:val="TextinTables"/>
            </w:pPr>
            <w:r w:rsidRPr="0094519D">
              <w:t xml:space="preserve">M 112 (magistralna cesta I reda) </w:t>
            </w:r>
          </w:p>
        </w:tc>
        <w:tc>
          <w:tcPr>
            <w:tcW w:w="2011" w:type="dxa"/>
            <w:shd w:val="clear" w:color="auto" w:fill="FFFFFF"/>
            <w:hideMark/>
          </w:tcPr>
          <w:p w:rsidR="00055F76" w:rsidRPr="0094519D" w:rsidRDefault="00055F76" w:rsidP="00133151">
            <w:pPr>
              <w:pStyle w:val="TextinTables"/>
            </w:pPr>
            <w:r w:rsidRPr="0094519D">
              <w:t xml:space="preserve">M-14 </w:t>
            </w:r>
          </w:p>
        </w:tc>
        <w:tc>
          <w:tcPr>
            <w:tcW w:w="3511" w:type="dxa"/>
            <w:shd w:val="clear" w:color="auto" w:fill="FFFFFF"/>
            <w:hideMark/>
          </w:tcPr>
          <w:p w:rsidR="00055F76" w:rsidRPr="0094519D" w:rsidRDefault="00055F76" w:rsidP="00133151">
            <w:pPr>
              <w:pStyle w:val="TextinTables"/>
              <w:rPr>
                <w:szCs w:val="24"/>
              </w:rPr>
            </w:pPr>
            <w:r w:rsidRPr="0094519D">
              <w:t xml:space="preserve">Granica entiteta-Gračanica-Lukavac-Šićki Brod-Tuzla-Simin Han-Međa-Kalesija-granica entiteta </w:t>
            </w:r>
          </w:p>
        </w:tc>
      </w:tr>
      <w:tr w:rsidR="00055F76" w:rsidRPr="0094519D" w:rsidTr="007B2938">
        <w:trPr>
          <w:trHeight w:val="221"/>
          <w:jc w:val="center"/>
        </w:trPr>
        <w:tc>
          <w:tcPr>
            <w:tcW w:w="815" w:type="dxa"/>
            <w:shd w:val="clear" w:color="auto" w:fill="FFFFFF"/>
            <w:hideMark/>
          </w:tcPr>
          <w:p w:rsidR="00055F76" w:rsidRPr="0094519D" w:rsidRDefault="00055F76" w:rsidP="00133151">
            <w:pPr>
              <w:pStyle w:val="TextinTables"/>
            </w:pPr>
            <w:r w:rsidRPr="0094519D">
              <w:t xml:space="preserve">2. </w:t>
            </w:r>
          </w:p>
        </w:tc>
        <w:tc>
          <w:tcPr>
            <w:tcW w:w="2011" w:type="dxa"/>
            <w:shd w:val="clear" w:color="auto" w:fill="FFFFFF"/>
            <w:hideMark/>
          </w:tcPr>
          <w:p w:rsidR="00055F76" w:rsidRPr="0094519D" w:rsidRDefault="00055F76" w:rsidP="00133151">
            <w:pPr>
              <w:pStyle w:val="TextinTables"/>
            </w:pPr>
            <w:r w:rsidRPr="0094519D">
              <w:t xml:space="preserve">M 211 (magistralna cesta II reda) </w:t>
            </w:r>
          </w:p>
        </w:tc>
        <w:tc>
          <w:tcPr>
            <w:tcW w:w="2011" w:type="dxa"/>
            <w:shd w:val="clear" w:color="auto" w:fill="FFFFFF"/>
            <w:hideMark/>
          </w:tcPr>
          <w:p w:rsidR="00055F76" w:rsidRPr="0094519D" w:rsidRDefault="00055F76" w:rsidP="00133151">
            <w:pPr>
              <w:pStyle w:val="TextinTables"/>
            </w:pPr>
            <w:r w:rsidRPr="0094519D">
              <w:t xml:space="preserve">M-18 </w:t>
            </w:r>
          </w:p>
        </w:tc>
        <w:tc>
          <w:tcPr>
            <w:tcW w:w="3511" w:type="dxa"/>
            <w:shd w:val="clear" w:color="auto" w:fill="FFFFFF"/>
            <w:hideMark/>
          </w:tcPr>
          <w:p w:rsidR="00055F76" w:rsidRPr="0094519D" w:rsidRDefault="00055F76" w:rsidP="00133151">
            <w:pPr>
              <w:pStyle w:val="TextinTables"/>
              <w:rPr>
                <w:szCs w:val="24"/>
              </w:rPr>
            </w:pPr>
            <w:r w:rsidRPr="0094519D">
              <w:t xml:space="preserve">Simin Han-Požarnica-granica entiteta </w:t>
            </w:r>
          </w:p>
        </w:tc>
      </w:tr>
      <w:tr w:rsidR="00055F76" w:rsidRPr="0094519D" w:rsidTr="007B2938">
        <w:trPr>
          <w:trHeight w:val="222"/>
          <w:jc w:val="center"/>
        </w:trPr>
        <w:tc>
          <w:tcPr>
            <w:tcW w:w="815" w:type="dxa"/>
            <w:shd w:val="clear" w:color="auto" w:fill="FFFFFF"/>
            <w:hideMark/>
          </w:tcPr>
          <w:p w:rsidR="00055F76" w:rsidRPr="0094519D" w:rsidRDefault="00055F76" w:rsidP="00133151">
            <w:pPr>
              <w:pStyle w:val="TextinTables"/>
            </w:pPr>
            <w:r w:rsidRPr="0094519D">
              <w:t xml:space="preserve">3. </w:t>
            </w:r>
          </w:p>
        </w:tc>
        <w:tc>
          <w:tcPr>
            <w:tcW w:w="2011" w:type="dxa"/>
            <w:shd w:val="clear" w:color="auto" w:fill="FFFFFF"/>
            <w:hideMark/>
          </w:tcPr>
          <w:p w:rsidR="00055F76" w:rsidRPr="0094519D" w:rsidRDefault="00055F76" w:rsidP="00133151">
            <w:pPr>
              <w:pStyle w:val="TextinTables"/>
            </w:pPr>
            <w:r w:rsidRPr="0094519D">
              <w:t xml:space="preserve">M 212 (magistralna cesta II reda) </w:t>
            </w:r>
          </w:p>
        </w:tc>
        <w:tc>
          <w:tcPr>
            <w:tcW w:w="2011" w:type="dxa"/>
            <w:shd w:val="clear" w:color="auto" w:fill="FFFFFF"/>
            <w:hideMark/>
          </w:tcPr>
          <w:p w:rsidR="00055F76" w:rsidRPr="0094519D" w:rsidRDefault="00055F76" w:rsidP="00133151">
            <w:pPr>
              <w:pStyle w:val="TextinTables"/>
            </w:pPr>
            <w:r w:rsidRPr="0094519D">
              <w:t xml:space="preserve">R 469 </w:t>
            </w:r>
          </w:p>
        </w:tc>
        <w:tc>
          <w:tcPr>
            <w:tcW w:w="3511" w:type="dxa"/>
            <w:shd w:val="clear" w:color="auto" w:fill="FFFFFF"/>
            <w:hideMark/>
          </w:tcPr>
          <w:p w:rsidR="00055F76" w:rsidRPr="0094519D" w:rsidRDefault="00055F76" w:rsidP="00133151">
            <w:pPr>
              <w:pStyle w:val="TextinTables"/>
              <w:rPr>
                <w:szCs w:val="24"/>
              </w:rPr>
            </w:pPr>
            <w:r w:rsidRPr="0094519D">
              <w:t xml:space="preserve">Živinice-Dubrave-Međaš </w:t>
            </w:r>
          </w:p>
        </w:tc>
      </w:tr>
      <w:tr w:rsidR="00055F76" w:rsidRPr="0094519D" w:rsidTr="007B2938">
        <w:trPr>
          <w:trHeight w:val="220"/>
          <w:jc w:val="center"/>
        </w:trPr>
        <w:tc>
          <w:tcPr>
            <w:tcW w:w="815" w:type="dxa"/>
            <w:shd w:val="clear" w:color="auto" w:fill="FFFFFF"/>
            <w:hideMark/>
          </w:tcPr>
          <w:p w:rsidR="00055F76" w:rsidRPr="0094519D" w:rsidRDefault="00055F76" w:rsidP="00133151">
            <w:pPr>
              <w:pStyle w:val="TextinTables"/>
            </w:pPr>
            <w:r w:rsidRPr="0094519D">
              <w:t xml:space="preserve">4. </w:t>
            </w:r>
          </w:p>
        </w:tc>
        <w:tc>
          <w:tcPr>
            <w:tcW w:w="2011" w:type="dxa"/>
            <w:shd w:val="clear" w:color="auto" w:fill="FFFFFF"/>
            <w:hideMark/>
          </w:tcPr>
          <w:p w:rsidR="00055F76" w:rsidRPr="0094519D" w:rsidRDefault="00055F76" w:rsidP="00133151">
            <w:pPr>
              <w:pStyle w:val="TextinTables"/>
            </w:pPr>
            <w:r w:rsidRPr="0094519D">
              <w:t xml:space="preserve">R 307 (regionalna cesta I reda) </w:t>
            </w:r>
          </w:p>
        </w:tc>
        <w:tc>
          <w:tcPr>
            <w:tcW w:w="2011" w:type="dxa"/>
            <w:shd w:val="clear" w:color="auto" w:fill="FFFFFF"/>
            <w:hideMark/>
          </w:tcPr>
          <w:p w:rsidR="00055F76" w:rsidRPr="0094519D" w:rsidRDefault="00055F76" w:rsidP="00133151">
            <w:pPr>
              <w:pStyle w:val="TextinTables"/>
            </w:pPr>
            <w:r w:rsidRPr="0094519D">
              <w:t xml:space="preserve">Lokalna cesta </w:t>
            </w:r>
          </w:p>
        </w:tc>
        <w:tc>
          <w:tcPr>
            <w:tcW w:w="3511" w:type="dxa"/>
            <w:shd w:val="clear" w:color="auto" w:fill="FFFFFF"/>
            <w:hideMark/>
          </w:tcPr>
          <w:p w:rsidR="00055F76" w:rsidRPr="0094519D" w:rsidRDefault="00055F76" w:rsidP="00133151">
            <w:pPr>
              <w:pStyle w:val="TextinTables"/>
              <w:rPr>
                <w:szCs w:val="24"/>
              </w:rPr>
            </w:pPr>
            <w:r w:rsidRPr="0094519D">
              <w:t xml:space="preserve">Sapna-Kalesija </w:t>
            </w:r>
          </w:p>
        </w:tc>
      </w:tr>
      <w:tr w:rsidR="00055F76" w:rsidRPr="0094519D" w:rsidTr="007B2938">
        <w:trPr>
          <w:trHeight w:val="222"/>
          <w:jc w:val="center"/>
        </w:trPr>
        <w:tc>
          <w:tcPr>
            <w:tcW w:w="815" w:type="dxa"/>
            <w:shd w:val="clear" w:color="auto" w:fill="FFFFFF"/>
            <w:hideMark/>
          </w:tcPr>
          <w:p w:rsidR="00055F76" w:rsidRPr="0094519D" w:rsidRDefault="00055F76" w:rsidP="00133151">
            <w:pPr>
              <w:pStyle w:val="TextinTables"/>
            </w:pPr>
            <w:r w:rsidRPr="0094519D">
              <w:t xml:space="preserve">5. </w:t>
            </w:r>
          </w:p>
        </w:tc>
        <w:tc>
          <w:tcPr>
            <w:tcW w:w="2011" w:type="dxa"/>
            <w:shd w:val="clear" w:color="auto" w:fill="FFFFFF"/>
            <w:hideMark/>
          </w:tcPr>
          <w:p w:rsidR="00055F76" w:rsidRPr="0094519D" w:rsidRDefault="00055F76" w:rsidP="00133151">
            <w:pPr>
              <w:pStyle w:val="TextinTables"/>
            </w:pPr>
            <w:r w:rsidRPr="0094519D">
              <w:t xml:space="preserve">R 359 (regionalna cesta II reda) </w:t>
            </w:r>
          </w:p>
        </w:tc>
        <w:tc>
          <w:tcPr>
            <w:tcW w:w="2011" w:type="dxa"/>
            <w:shd w:val="clear" w:color="auto" w:fill="FFFFFF"/>
            <w:hideMark/>
          </w:tcPr>
          <w:p w:rsidR="00055F76" w:rsidRPr="0094519D" w:rsidRDefault="00055F76" w:rsidP="00133151">
            <w:pPr>
              <w:pStyle w:val="TextinTables"/>
            </w:pPr>
            <w:r w:rsidRPr="0094519D">
              <w:t xml:space="preserve">Lokalna cesta </w:t>
            </w:r>
          </w:p>
        </w:tc>
        <w:tc>
          <w:tcPr>
            <w:tcW w:w="3511" w:type="dxa"/>
            <w:shd w:val="clear" w:color="auto" w:fill="FFFFFF"/>
            <w:hideMark/>
          </w:tcPr>
          <w:p w:rsidR="00055F76" w:rsidRPr="0094519D" w:rsidRDefault="00055F76" w:rsidP="00133151">
            <w:pPr>
              <w:pStyle w:val="TextinTables"/>
              <w:rPr>
                <w:szCs w:val="24"/>
              </w:rPr>
            </w:pPr>
            <w:r w:rsidRPr="0094519D">
              <w:t xml:space="preserve">Tojšići-Kikači-Požarnica </w:t>
            </w:r>
          </w:p>
        </w:tc>
      </w:tr>
      <w:tr w:rsidR="00055F76" w:rsidRPr="0094519D" w:rsidTr="007B2938">
        <w:trPr>
          <w:trHeight w:val="221"/>
          <w:jc w:val="center"/>
        </w:trPr>
        <w:tc>
          <w:tcPr>
            <w:tcW w:w="815" w:type="dxa"/>
            <w:shd w:val="clear" w:color="auto" w:fill="FFFFFF"/>
            <w:hideMark/>
          </w:tcPr>
          <w:p w:rsidR="00055F76" w:rsidRPr="0094519D" w:rsidRDefault="00055F76" w:rsidP="00133151">
            <w:pPr>
              <w:pStyle w:val="TextinTables"/>
            </w:pPr>
            <w:r w:rsidRPr="0094519D">
              <w:t xml:space="preserve">6. </w:t>
            </w:r>
          </w:p>
        </w:tc>
        <w:tc>
          <w:tcPr>
            <w:tcW w:w="2011" w:type="dxa"/>
            <w:shd w:val="clear" w:color="auto" w:fill="FFFFFF"/>
            <w:hideMark/>
          </w:tcPr>
          <w:p w:rsidR="00055F76" w:rsidRPr="0094519D" w:rsidRDefault="00055F76" w:rsidP="00133151">
            <w:pPr>
              <w:pStyle w:val="TextinTables"/>
            </w:pPr>
            <w:r w:rsidRPr="0094519D">
              <w:t xml:space="preserve">R 364 (regionalna cesta II reda) </w:t>
            </w:r>
          </w:p>
        </w:tc>
        <w:tc>
          <w:tcPr>
            <w:tcW w:w="2011" w:type="dxa"/>
            <w:shd w:val="clear" w:color="auto" w:fill="FFFFFF"/>
            <w:hideMark/>
          </w:tcPr>
          <w:p w:rsidR="00055F76" w:rsidRPr="0094519D" w:rsidRDefault="00055F76" w:rsidP="00133151">
            <w:pPr>
              <w:pStyle w:val="TextinTables"/>
            </w:pPr>
            <w:r w:rsidRPr="0094519D">
              <w:t xml:space="preserve">Lokalna cesta </w:t>
            </w:r>
          </w:p>
        </w:tc>
        <w:tc>
          <w:tcPr>
            <w:tcW w:w="3511" w:type="dxa"/>
            <w:shd w:val="clear" w:color="auto" w:fill="FFFFFF"/>
            <w:hideMark/>
          </w:tcPr>
          <w:p w:rsidR="00055F76" w:rsidRPr="0094519D" w:rsidRDefault="00055F76" w:rsidP="00133151">
            <w:pPr>
              <w:pStyle w:val="TextinTables"/>
              <w:rPr>
                <w:szCs w:val="24"/>
              </w:rPr>
            </w:pPr>
            <w:r w:rsidRPr="0094519D">
              <w:t xml:space="preserve">Zelenika-Gojčin-Jelovo Brdo-Kalesija </w:t>
            </w:r>
          </w:p>
        </w:tc>
      </w:tr>
    </w:tbl>
    <w:p w:rsidR="00055F76" w:rsidRPr="00133151" w:rsidRDefault="00055F76" w:rsidP="00D25E97">
      <w:pPr>
        <w:pStyle w:val="Izvorpodataka"/>
      </w:pPr>
      <w:r w:rsidRPr="00133151">
        <w:t>Izvor</w:t>
      </w:r>
      <w:r w:rsidR="00C109EE" w:rsidRPr="00133151">
        <w:t>: Prostorni plan općine Kalesija za period 2015/35</w:t>
      </w:r>
    </w:p>
    <w:p w:rsidR="00055F76" w:rsidRPr="00D24BE9" w:rsidRDefault="00055F76" w:rsidP="00AD59CB">
      <w:pPr>
        <w:pStyle w:val="Heading5"/>
        <w:rPr>
          <w:lang w:val="hr-HR" w:eastAsia="hi-IN" w:bidi="hi-IN"/>
        </w:rPr>
      </w:pPr>
      <w:r w:rsidRPr="00D24BE9">
        <w:rPr>
          <w:lang w:val="hr-HR" w:eastAsia="hi-IN" w:bidi="hi-IN"/>
        </w:rPr>
        <w:lastRenderedPageBreak/>
        <w:t xml:space="preserve">Lokalna saobraćajna mreža </w:t>
      </w:r>
    </w:p>
    <w:p w:rsidR="00055F76" w:rsidRPr="00D24BE9" w:rsidRDefault="00055F76" w:rsidP="00750FA5">
      <w:pPr>
        <w:rPr>
          <w:lang w:val="hr-HR" w:eastAsia="hi-IN" w:bidi="hi-IN"/>
        </w:rPr>
      </w:pPr>
      <w:r w:rsidRPr="0094519D">
        <w:rPr>
          <w:lang w:val="hr-HR" w:eastAsia="hi-IN" w:bidi="hi-IN"/>
        </w:rPr>
        <w:t xml:space="preserve">Lokalna saobraćajna mreža opslužuje unutrašnje dijelove općine, vezuje se na postojeće regionalne i magistralne ceste. Veći dio postojećih cesta je modernizovan, a ukupno ove ceste zauzimaju 81,6% kategorisane putne mreže. </w:t>
      </w:r>
      <w:r w:rsidR="002820C9">
        <w:rPr>
          <w:lang w:val="hr-HR" w:eastAsia="hi-IN" w:bidi="hi-IN"/>
        </w:rPr>
        <w:t>Dužina n</w:t>
      </w:r>
      <w:r w:rsidRPr="0094519D">
        <w:rPr>
          <w:lang w:val="hr-HR" w:eastAsia="hi-IN" w:bidi="hi-IN"/>
        </w:rPr>
        <w:t xml:space="preserve">ekategorisanih cesta u općini Kalesija </w:t>
      </w:r>
      <w:r w:rsidR="002820C9">
        <w:rPr>
          <w:lang w:val="hr-HR" w:eastAsia="hi-IN" w:bidi="hi-IN"/>
        </w:rPr>
        <w:t>je</w:t>
      </w:r>
      <w:r w:rsidRPr="0094519D">
        <w:rPr>
          <w:lang w:val="hr-HR" w:eastAsia="hi-IN" w:bidi="hi-IN"/>
        </w:rPr>
        <w:t xml:space="preserve"> 117,23 km. </w:t>
      </w:r>
    </w:p>
    <w:p w:rsidR="00055F76" w:rsidRPr="0094519D" w:rsidRDefault="00055F76" w:rsidP="00750FA5">
      <w:pPr>
        <w:tabs>
          <w:tab w:val="left" w:pos="284"/>
        </w:tabs>
        <w:suppressAutoHyphens/>
        <w:rPr>
          <w:rFonts w:eastAsia="Times New Roman"/>
          <w:kern w:val="1"/>
          <w:lang w:val="hr-HR" w:eastAsia="hi-IN" w:bidi="hi-IN"/>
        </w:rPr>
      </w:pPr>
      <w:r w:rsidRPr="0094519D">
        <w:rPr>
          <w:rFonts w:eastAsia="Times New Roman"/>
          <w:kern w:val="1"/>
          <w:lang w:val="hr-HR" w:eastAsia="hi-IN" w:bidi="hi-IN"/>
        </w:rPr>
        <w:t>U većini mjesnih zajednica putna infrastruktura je zadovoljavajuća, prije svega zahvaljujući sufinansiranju projekata po principu „marka na marku“ u saradnji s mjesnim zajednicama. Veliki problem i dalje predstvalja nedovoljna izgrađenost pješačke staze uz m</w:t>
      </w:r>
      <w:r w:rsidR="002820C9">
        <w:rPr>
          <w:rFonts w:eastAsia="Times New Roman"/>
          <w:kern w:val="1"/>
          <w:lang w:val="hr-HR" w:eastAsia="hi-IN" w:bidi="hi-IN"/>
        </w:rPr>
        <w:t>agistralnu cestu Tuzla -Zvornik</w:t>
      </w:r>
      <w:r w:rsidRPr="0094519D">
        <w:rPr>
          <w:rFonts w:eastAsia="Times New Roman"/>
          <w:kern w:val="1"/>
          <w:lang w:val="hr-HR" w:eastAsia="hi-IN" w:bidi="hi-IN"/>
        </w:rPr>
        <w:t xml:space="preserve">. Ova putna komunikacija je u nadležnosti JP Ceste Federacije BIH, koja je u okviru svojih nadležnosti u skladu  sa </w:t>
      </w:r>
      <w:r w:rsidRPr="00055F76">
        <w:t>Zakonom o cestama FBiH</w:t>
      </w:r>
      <w:r w:rsidRPr="00055F76">
        <w:rPr>
          <w:vertAlign w:val="superscript"/>
        </w:rPr>
        <w:footnoteReference w:id="49"/>
      </w:r>
      <w:r w:rsidRPr="00055F76">
        <w:t>, u dosadašnjem periodu izgradila oko 5.000 m pješačke staze duz magistralne</w:t>
      </w:r>
      <w:r w:rsidRPr="0094519D">
        <w:rPr>
          <w:rFonts w:eastAsia="Times New Roman"/>
          <w:kern w:val="1"/>
          <w:lang w:val="hr-HR" w:eastAsia="hi-IN" w:bidi="hi-IN"/>
        </w:rPr>
        <w:t xml:space="preserve"> ceste. Velika je potreba za izgradnjom pješačke staze duž magistralne ceste i kroz ostala naselja, tako da sa ovom dinamikom izgradnje nećemo sigurnost pješaka kao i život stanovništvu značajno poboljšati u realnim vremenskim okvirima. </w:t>
      </w:r>
    </w:p>
    <w:p w:rsidR="00055F76" w:rsidRPr="00D24BE9" w:rsidRDefault="00055F76" w:rsidP="00750FA5">
      <w:pPr>
        <w:suppressAutoHyphens/>
        <w:rPr>
          <w:rFonts w:eastAsia="Times New Roman"/>
          <w:kern w:val="1"/>
          <w:lang w:val="hr-HR" w:eastAsia="hi-IN" w:bidi="hi-IN"/>
        </w:rPr>
      </w:pPr>
      <w:r w:rsidRPr="0094519D">
        <w:rPr>
          <w:rFonts w:eastAsia="Times New Roman"/>
          <w:kern w:val="1"/>
          <w:lang w:val="hr-HR" w:eastAsia="hi-IN" w:bidi="hi-IN"/>
        </w:rPr>
        <w:t>Stanj</w:t>
      </w:r>
      <w:r w:rsidR="002820C9">
        <w:rPr>
          <w:rFonts w:eastAsia="Times New Roman"/>
          <w:kern w:val="1"/>
          <w:lang w:val="hr-HR" w:eastAsia="hi-IN" w:bidi="hi-IN"/>
        </w:rPr>
        <w:t xml:space="preserve">e regionalnih cesta, koje su u </w:t>
      </w:r>
      <w:r w:rsidRPr="0094519D">
        <w:rPr>
          <w:rFonts w:eastAsia="Times New Roman"/>
          <w:kern w:val="1"/>
          <w:lang w:val="hr-HR" w:eastAsia="hi-IN" w:bidi="hi-IN"/>
        </w:rPr>
        <w:t>kantonalnoj nadležnosti, po pitanju kvaliteta održavanja i sigurnosti pješaka,  se značajno ne razlikuje od opisnog stanja magistralnih cesta, te je potrebno u budućnosti aktivnosti usmjeriti na izgradnji pješačke staze duž ove putne komunikacije, gdje  do sada nije izgrađeno.</w:t>
      </w:r>
    </w:p>
    <w:p w:rsidR="00055F76" w:rsidRPr="00D24BE9" w:rsidRDefault="00055F76" w:rsidP="00AD59CB">
      <w:pPr>
        <w:pStyle w:val="Heading5"/>
        <w:rPr>
          <w:lang w:val="hr-HR" w:eastAsia="hi-IN" w:bidi="hi-IN"/>
        </w:rPr>
      </w:pPr>
      <w:r w:rsidRPr="00D24BE9">
        <w:rPr>
          <w:lang w:val="hr-HR" w:eastAsia="hi-IN" w:bidi="hi-IN"/>
        </w:rPr>
        <w:t xml:space="preserve">Željeznički saobraćaj </w:t>
      </w:r>
    </w:p>
    <w:p w:rsidR="002820C9" w:rsidRPr="00B34D85" w:rsidRDefault="00055F76" w:rsidP="003663CA">
      <w:r w:rsidRPr="002A0F66">
        <w:t>Teritorijom općine Kalesija prolazi željeznička pruga Tuzla – Zvornik</w:t>
      </w:r>
      <w:r w:rsidR="002820C9">
        <w:t>, koja poboljšava konkurentnost privrede u BiH i</w:t>
      </w:r>
      <w:r w:rsidRPr="002A0F66">
        <w:t xml:space="preserve"> posebno</w:t>
      </w:r>
      <w:r w:rsidR="002820C9">
        <w:t xml:space="preserve"> je značajna za veće privredne subjekte:</w:t>
      </w:r>
      <w:r w:rsidRPr="002A0F66">
        <w:t xml:space="preserve"> Rudnici Mital iz Prijedora, Fabrika glinice B</w:t>
      </w:r>
      <w:r w:rsidR="002820C9">
        <w:t>irač u Zvorniku, GIKL u Lukavcu i</w:t>
      </w:r>
      <w:r w:rsidRPr="002A0F66">
        <w:t xml:space="preserve"> Ru</w:t>
      </w:r>
      <w:r w:rsidR="002820C9">
        <w:t>dnici uglja u Tuzlanskom bazenu</w:t>
      </w:r>
      <w:r w:rsidRPr="002A0F66">
        <w:t>.</w:t>
      </w:r>
    </w:p>
    <w:p w:rsidR="00055F76" w:rsidRPr="00D24BE9" w:rsidRDefault="00055F76" w:rsidP="00AD59CB">
      <w:pPr>
        <w:pStyle w:val="Heading5"/>
        <w:rPr>
          <w:lang w:val="hr-HR" w:eastAsia="hi-IN" w:bidi="hi-IN"/>
        </w:rPr>
      </w:pPr>
      <w:r w:rsidRPr="00D24BE9">
        <w:rPr>
          <w:lang w:val="hr-HR" w:eastAsia="hi-IN" w:bidi="hi-IN"/>
        </w:rPr>
        <w:t>Vazdušni saobraćaj</w:t>
      </w:r>
      <w:r w:rsidRPr="00D24BE9">
        <w:rPr>
          <w:sz w:val="19"/>
          <w:szCs w:val="19"/>
          <w:lang w:val="hr-HR" w:eastAsia="hi-IN" w:bidi="hi-IN"/>
        </w:rPr>
        <w:t xml:space="preserve"> </w:t>
      </w:r>
      <w:r w:rsidRPr="00D24BE9">
        <w:rPr>
          <w:lang w:val="hr-HR" w:eastAsia="hi-IN" w:bidi="hi-IN"/>
        </w:rPr>
        <w:t xml:space="preserve"> </w:t>
      </w:r>
    </w:p>
    <w:p w:rsidR="00055F76" w:rsidRDefault="00055F76" w:rsidP="00750FA5">
      <w:r w:rsidRPr="002A0F66">
        <w:t xml:space="preserve">Općina Kalesija se graniči sa općinom Živinice na čijem području se nalazi međunarodni aerodrom. Osim omogućenih turističkih i porodičnih posjeta, povezanost s Evropom prilika je i za </w:t>
      </w:r>
      <w:r>
        <w:t>jačanje brojnih grana privrede.</w:t>
      </w:r>
      <w:r w:rsidR="00D24BE9">
        <w:tab/>
      </w:r>
    </w:p>
    <w:p w:rsidR="002820C9" w:rsidRPr="00B34D85" w:rsidRDefault="00055F76" w:rsidP="00750FA5">
      <w:r w:rsidRPr="002A0F66">
        <w:t>Na području općine Kalesija postoji sportski aerodrom u naselju Rainci Donji koji je smješten u blizini lokalne ces</w:t>
      </w:r>
      <w:r w:rsidR="002820C9">
        <w:t xml:space="preserve">te Rainci Gornji-Rainci Donji. </w:t>
      </w:r>
      <w:r w:rsidRPr="002A0F66">
        <w:t>Kako bi se poboljšali uslovi na postojećem letilištu potrebno je da se u skladu sa zahtjevima aerokluba Tuzla uradi Master plan u kome će se definisati osnovni ciljevi i dati preporuka vezano za ev</w:t>
      </w:r>
      <w:r w:rsidR="002820C9">
        <w:t>entualnu rekonstrukciju istog.</w:t>
      </w:r>
    </w:p>
    <w:p w:rsidR="00055F76" w:rsidRPr="00055F76" w:rsidRDefault="00055F76" w:rsidP="00AD59CB">
      <w:pPr>
        <w:pStyle w:val="Heading4"/>
        <w:rPr>
          <w:lang w:val="hr-HR" w:eastAsia="hi-IN" w:bidi="hi-IN"/>
        </w:rPr>
      </w:pPr>
      <w:bookmarkStart w:id="82" w:name="_Toc500140033"/>
      <w:r w:rsidRPr="00055F76">
        <w:rPr>
          <w:sz w:val="23"/>
          <w:szCs w:val="23"/>
          <w:lang w:val="hr-HR" w:eastAsia="hi-IN" w:bidi="hi-IN"/>
        </w:rPr>
        <w:t xml:space="preserve">Telekomunikacije, </w:t>
      </w:r>
      <w:r w:rsidRPr="00055F76">
        <w:rPr>
          <w:lang w:val="hr-HR" w:eastAsia="hi-IN" w:bidi="hi-IN"/>
        </w:rPr>
        <w:t>radio veze i infrastrukturna mreža</w:t>
      </w:r>
      <w:bookmarkEnd w:id="82"/>
    </w:p>
    <w:p w:rsidR="00055F76" w:rsidRPr="002A0F66" w:rsidRDefault="00055F76" w:rsidP="00750FA5">
      <w:pPr>
        <w:rPr>
          <w:lang w:val="hr-HR" w:eastAsia="hi-IN" w:bidi="hi-IN"/>
        </w:rPr>
      </w:pPr>
      <w:r w:rsidRPr="002A0F66">
        <w:rPr>
          <w:lang w:val="hr-HR" w:eastAsia="hi-IN" w:bidi="hi-IN"/>
        </w:rPr>
        <w:t xml:space="preserve">Telekomunikacijski saobraćaj na području Općine Kalesija odvija se bez većih problema, kako u pogledu telefonskog saobraćaja, tako i po pitanju prijema i distribucije pošte i paketa. Trenutno je u funkciji 1 čvorna centrala i 12 krajnjih centrala. Sva naseljena mjesta na teritoriji Općine su pokrivena telefonskom mrežom, te je u više pravaca položen  optički kabal. Na području Općine djeluje javno preduzeće (BH Telecom i BH Pošta Kalesija), koja ima nadležnost za postavljanje i održavanje telekomunikacijskih uređaja i veza. Područje Općine pokriveno je mrežom mobilne telefonije. </w:t>
      </w:r>
    </w:p>
    <w:p w:rsidR="00055F76" w:rsidRPr="002A0F66" w:rsidRDefault="00055F76" w:rsidP="00750FA5">
      <w:pPr>
        <w:rPr>
          <w:lang w:val="hr-HR" w:eastAsia="hi-IN" w:bidi="hi-IN"/>
        </w:rPr>
      </w:pPr>
      <w:r w:rsidRPr="002A0F66">
        <w:rPr>
          <w:lang w:val="hr-HR" w:eastAsia="hi-IN" w:bidi="hi-IN"/>
        </w:rPr>
        <w:t>Na osnovu planiranog broja telefonskih priključaka i na osnovu iskazanih potreba na općinskom području u planu je postavljan</w:t>
      </w:r>
      <w:r w:rsidR="00993890">
        <w:rPr>
          <w:lang w:val="hr-HR" w:eastAsia="hi-IN" w:bidi="hi-IN"/>
        </w:rPr>
        <w:t>je dodatnih isturenih stepena (</w:t>
      </w:r>
      <w:r w:rsidRPr="002A0F66">
        <w:rPr>
          <w:lang w:val="hr-HR" w:eastAsia="hi-IN" w:bidi="hi-IN"/>
        </w:rPr>
        <w:t>RSS</w:t>
      </w:r>
      <w:r w:rsidR="00993890">
        <w:rPr>
          <w:lang w:val="hr-HR" w:eastAsia="hi-IN" w:bidi="hi-IN"/>
        </w:rPr>
        <w:t>-</w:t>
      </w:r>
      <w:r w:rsidRPr="002A0F66">
        <w:rPr>
          <w:lang w:val="hr-HR" w:eastAsia="hi-IN" w:bidi="hi-IN"/>
        </w:rPr>
        <w:t>ova</w:t>
      </w:r>
      <w:r w:rsidR="00993890">
        <w:rPr>
          <w:lang w:val="hr-HR" w:eastAsia="hi-IN" w:bidi="hi-IN"/>
        </w:rPr>
        <w:t>) Povezivanje ovih RSS-</w:t>
      </w:r>
      <w:r w:rsidRPr="002A0F66">
        <w:rPr>
          <w:lang w:val="hr-HR" w:eastAsia="hi-IN" w:bidi="hi-IN"/>
        </w:rPr>
        <w:t xml:space="preserve">ova sa Kalesijom izvelo bi se kablovski, odnosno povezivanje optičkim kablom. </w:t>
      </w:r>
    </w:p>
    <w:p w:rsidR="00993890" w:rsidRPr="002A0F66" w:rsidRDefault="00055F76" w:rsidP="00750FA5">
      <w:pPr>
        <w:rPr>
          <w:lang w:val="hr-HR" w:eastAsia="hi-IN" w:bidi="hi-IN"/>
        </w:rPr>
      </w:pPr>
      <w:r w:rsidRPr="002A0F66">
        <w:rPr>
          <w:lang w:val="hr-HR" w:eastAsia="hi-IN" w:bidi="hi-IN"/>
        </w:rPr>
        <w:t>Za obezbjeđenje što kvalitetnijeg prijema RTV signala u predmetnom obuhvatu potrebno je planirati kablovsku televiziju. Mrežu planirati tako da se stvore mogućnosti priključenja i na vangradska područja.</w:t>
      </w:r>
      <w:r>
        <w:rPr>
          <w:lang w:val="hr-HR" w:eastAsia="hi-IN" w:bidi="hi-IN"/>
        </w:rPr>
        <w:t xml:space="preserve"> </w:t>
      </w:r>
      <w:r w:rsidRPr="002A0F66">
        <w:rPr>
          <w:lang w:val="hr-HR" w:eastAsia="hi-IN" w:bidi="hi-IN"/>
        </w:rPr>
        <w:t xml:space="preserve">S obzirom da se </w:t>
      </w:r>
      <w:r w:rsidR="00993890">
        <w:rPr>
          <w:lang w:val="hr-HR" w:eastAsia="hi-IN" w:bidi="hi-IN"/>
        </w:rPr>
        <w:t>predviđa</w:t>
      </w:r>
      <w:r w:rsidRPr="002A0F66">
        <w:rPr>
          <w:lang w:val="hr-HR" w:eastAsia="hi-IN" w:bidi="hi-IN"/>
        </w:rPr>
        <w:t xml:space="preserve"> porast broja stanovnika i da je na predmetnom obuhvatu predviđena izgradnja novih stambenih, poslovno-stambenih i poslovnih objekata, kao i izgradnja pratećih sadržaja, neophodna je izgradnja adekvatne infrastrukture iz oblasti telekomunikacija. Kapaciteti infrastrukture i </w:t>
      </w:r>
      <w:r w:rsidRPr="002A0F66">
        <w:rPr>
          <w:lang w:val="hr-HR" w:eastAsia="hi-IN" w:bidi="hi-IN"/>
        </w:rPr>
        <w:lastRenderedPageBreak/>
        <w:t xml:space="preserve">telekomunikacionih uređaja i pojedini elementi telekomunikacione infrastrukture, određuju se prema planiranim parametrima. </w:t>
      </w:r>
    </w:p>
    <w:p w:rsidR="00C05B70" w:rsidRPr="0034353C" w:rsidRDefault="00C05B70" w:rsidP="00AD59CB">
      <w:pPr>
        <w:pStyle w:val="Heading4"/>
        <w:rPr>
          <w:szCs w:val="24"/>
          <w:lang w:val="hr-HR" w:eastAsia="ar-SA"/>
        </w:rPr>
      </w:pPr>
      <w:bookmarkStart w:id="83" w:name="_Toc500140034"/>
      <w:r w:rsidRPr="0034353C">
        <w:rPr>
          <w:lang w:val="hr-HR" w:eastAsia="ar-SA"/>
        </w:rPr>
        <w:t>Mjere zaštite zraka, vode i tla</w:t>
      </w:r>
      <w:r w:rsidRPr="0034353C">
        <w:rPr>
          <w:szCs w:val="21"/>
          <w:lang w:val="hr-HR" w:eastAsia="ar-SA"/>
        </w:rPr>
        <w:t xml:space="preserve"> </w:t>
      </w:r>
      <w:r w:rsidRPr="0034353C">
        <w:rPr>
          <w:lang w:val="hr-HR" w:eastAsia="ar-SA"/>
        </w:rPr>
        <w:t>od zagađivanja</w:t>
      </w:r>
      <w:bookmarkEnd w:id="83"/>
      <w:r w:rsidRPr="0034353C">
        <w:rPr>
          <w:lang w:val="hr-HR" w:eastAsia="ar-SA"/>
        </w:rPr>
        <w:t xml:space="preserve"> </w:t>
      </w:r>
    </w:p>
    <w:p w:rsidR="00C05B70" w:rsidRDefault="00C05B70" w:rsidP="00750FA5">
      <w:pPr>
        <w:rPr>
          <w:lang w:val="hr-HR" w:eastAsia="ar-SA"/>
        </w:rPr>
      </w:pPr>
      <w:r>
        <w:rPr>
          <w:lang w:val="hr-HR" w:eastAsia="ar-SA"/>
        </w:rPr>
        <w:t>Na području općine Kalesija ne provodi se redovan monitoring kvaliteta zraka, vode i tla. Međutim, izvjesno je da postoje izvori zagađenja, prvenstveno usljed ispusta otpadnih voda i neadekvatnog upravljanja čvrstim optadom. Na području općine nema velikih industrijskih zagađivača, a određeno zagađenje javlja se zbog in</w:t>
      </w:r>
      <w:r w:rsidR="00D24BE9">
        <w:rPr>
          <w:lang w:val="hr-HR" w:eastAsia="ar-SA"/>
        </w:rPr>
        <w:t xml:space="preserve">tenzivnog drumskog saobraćaja. </w:t>
      </w:r>
    </w:p>
    <w:p w:rsidR="00C05B70" w:rsidRDefault="00C05B70" w:rsidP="00750FA5">
      <w:pPr>
        <w:rPr>
          <w:lang w:val="hr-HR" w:eastAsia="ar-SA"/>
        </w:rPr>
      </w:pPr>
      <w:r>
        <w:rPr>
          <w:lang w:val="hr-HR" w:eastAsia="ar-SA"/>
        </w:rPr>
        <w:t>T</w:t>
      </w:r>
      <w:r w:rsidRPr="0094519D">
        <w:rPr>
          <w:lang w:val="hr-HR" w:eastAsia="ar-SA"/>
        </w:rPr>
        <w:t xml:space="preserve">lo je pod opterećenjem od strane poljoprivredne djelatnosti, gdje se neadekvatnim đubrivima i aditivima trajno mijenjaju njegova svojstva i stanje. Potrebno je vršiti monitoring, ali i edukaciju i pomoć poljoprivrednicima pri odabiru hemijskih sredstava kojima se tretiraju usjevi. </w:t>
      </w:r>
    </w:p>
    <w:p w:rsidR="00C05B70" w:rsidRPr="00133151" w:rsidRDefault="00C05B70" w:rsidP="00750FA5">
      <w:pPr>
        <w:rPr>
          <w:color w:val="000000"/>
          <w:lang w:val="hr-HR" w:eastAsia="ar-SA"/>
        </w:rPr>
      </w:pPr>
      <w:r w:rsidRPr="0094519D">
        <w:rPr>
          <w:lang w:val="hr-HR" w:eastAsia="hi-IN" w:bidi="hi-IN"/>
        </w:rPr>
        <w:t xml:space="preserve">Veliki problem zaštite voda na području općine Kalesija predstavlja to što se onečišćene vode iz naseljenih mjesta upuštaju u vodotoke bez prečišćavanja i time se znatno narušava </w:t>
      </w:r>
      <w:r w:rsidRPr="00133151">
        <w:rPr>
          <w:lang w:val="hr-HR" w:eastAsia="hi-IN" w:bidi="hi-IN"/>
        </w:rPr>
        <w:t>kvalitet vode</w:t>
      </w:r>
      <w:r w:rsidR="00993890" w:rsidRPr="00133151">
        <w:rPr>
          <w:lang w:val="hr-HR" w:eastAsia="hi-IN" w:bidi="hi-IN"/>
        </w:rPr>
        <w:t xml:space="preserve"> </w:t>
      </w:r>
      <w:r w:rsidRPr="00133151">
        <w:rPr>
          <w:color w:val="000000"/>
          <w:lang w:val="hr-HR" w:eastAsia="ar-SA"/>
        </w:rPr>
        <w:t xml:space="preserve">u njima (potencijalni izvor zaraze, sanitarnih i higijenskih problema). Izgradnjom kanalizacionih sistema naselja i uređaja za pročišćavanje otpadnih voda, a koji su u planu, značajno će se unaprijediti stanje kvaliteta površinskih tokova i podzemnih voda. </w:t>
      </w:r>
    </w:p>
    <w:p w:rsidR="00C05B70" w:rsidRPr="00133151" w:rsidRDefault="00C05B70" w:rsidP="00750FA5">
      <w:pPr>
        <w:rPr>
          <w:rFonts w:eastAsia="Times New Roman"/>
          <w:iCs/>
          <w:kern w:val="1"/>
          <w:lang w:val="hr-HR" w:eastAsia="hi-IN" w:bidi="hi-IN"/>
        </w:rPr>
      </w:pPr>
      <w:r w:rsidRPr="00133151">
        <w:rPr>
          <w:lang w:val="hr-HR" w:eastAsia="hi-IN" w:bidi="hi-IN"/>
        </w:rPr>
        <w:t xml:space="preserve">Izvještajem o poslovanju „Agencije za vodno područje rijeke Save“ Sarajevo, za 2012. godinu, određena je izrada elaborata uređenja korita rijeke Spreče. </w:t>
      </w:r>
      <w:r w:rsidRPr="00133151">
        <w:rPr>
          <w:rFonts w:eastAsia="Times New Roman"/>
          <w:kern w:val="1"/>
          <w:lang w:val="hr-HR" w:eastAsia="hi-IN" w:bidi="hi-IN"/>
        </w:rPr>
        <w:t xml:space="preserve">Navedenim elaboratom, </w:t>
      </w:r>
      <w:r w:rsidRPr="00133151">
        <w:rPr>
          <w:rFonts w:eastAsia="Times New Roman"/>
          <w:iCs/>
          <w:kern w:val="1"/>
          <w:lang w:val="hr-HR" w:eastAsia="hi-IN" w:bidi="hi-IN"/>
        </w:rPr>
        <w:t>lijevom i desnom obalom rijeke Spreče planirana je izgradnja nasipa, čime se sprječava plavljenje okolnog terena, odnosno nekontrolisano izlijevanje vodotoka za vrijeme velikih vodostaja. Predlaže se regulisanje vodotoka (povremenog ili stalnog karaktera) koji prolaze kroz urbana područja, čime se povećava vodoprijemna moć korita, onemogućava izlijevanje (plavljenje terena) i erodiranje tla, a vodotok se uređeno uklapa u ambijentalnu cjelinu naseljenog mjesta.</w:t>
      </w:r>
    </w:p>
    <w:p w:rsidR="0048618D" w:rsidRDefault="00C05B70" w:rsidP="00750FA5">
      <w:pPr>
        <w:rPr>
          <w:lang w:val="hr-HR" w:eastAsia="hi-IN" w:bidi="hi-IN"/>
        </w:rPr>
      </w:pPr>
      <w:r w:rsidRPr="00133151">
        <w:rPr>
          <w:lang w:val="hr-HR" w:eastAsia="hi-IN" w:bidi="hi-IN"/>
        </w:rPr>
        <w:t>U periodu velikih poplava iz maja 2014 rijeke na području općine Kalesija su izlile iz svojih korita i načinile su milionske štete na stambenim, gospodarskim i privrednim objektima te na poljoprivrednim površinama.</w:t>
      </w:r>
      <w:r w:rsidR="00993890" w:rsidRPr="00133151">
        <w:rPr>
          <w:lang w:val="hr-HR" w:eastAsia="hi-IN" w:bidi="hi-IN"/>
        </w:rPr>
        <w:t xml:space="preserve"> </w:t>
      </w:r>
      <w:r w:rsidRPr="00133151">
        <w:rPr>
          <w:lang w:val="hr-HR" w:eastAsia="hi-IN" w:bidi="hi-IN"/>
        </w:rPr>
        <w:t>U svrhu saniranja nastalih posljedica i planiranja preventivnih zahvata u koritu i obalnom pojasu naših rijeka općina je kod Federalnog ministarstva poljoprivrede, vodoprivrede i šumarstva u okviru FERP</w:t>
      </w:r>
      <w:r w:rsidR="00993890" w:rsidRPr="00133151">
        <w:rPr>
          <w:lang w:val="hr-HR" w:eastAsia="hi-IN" w:bidi="hi-IN"/>
        </w:rPr>
        <w:t>-a</w:t>
      </w:r>
      <w:r w:rsidRPr="00133151">
        <w:rPr>
          <w:lang w:val="hr-HR" w:eastAsia="hi-IN" w:bidi="hi-IN"/>
        </w:rPr>
        <w:t xml:space="preserve"> (Projekat hitnog oporavka) obezbijedila Grant sredstva za izradu projektnih rješenja za čišćenje i sanaciju riječnih korita Gribaje, Dubnice, Kalesice, Kalesijske rijeke i Tavne. Sva projektna rješenja na nivou Glavnog projekta su izrađena i u toku je procedura izbora izvođača radova za dio predviđenih radova. Ukupna vrijednost projekta je oko 1.100.000 KM</w:t>
      </w:r>
      <w:r w:rsidR="00993890" w:rsidRPr="00133151">
        <w:rPr>
          <w:lang w:val="hr-HR" w:eastAsia="hi-IN" w:bidi="hi-IN"/>
        </w:rPr>
        <w:t>,</w:t>
      </w:r>
      <w:r w:rsidRPr="00133151">
        <w:rPr>
          <w:lang w:val="hr-HR" w:eastAsia="hi-IN" w:bidi="hi-IN"/>
        </w:rPr>
        <w:t xml:space="preserve"> a implementator projekta je Jedinica za implementaciju pri Ministarstvu.</w:t>
      </w:r>
      <w:r w:rsidRPr="00133151">
        <w:rPr>
          <w:vertAlign w:val="superscript"/>
          <w:lang w:val="hr-HR" w:eastAsia="hi-IN" w:bidi="hi-IN"/>
        </w:rPr>
        <w:footnoteReference w:id="50"/>
      </w:r>
      <w:r w:rsidR="0048618D">
        <w:rPr>
          <w:lang w:val="hr-HR" w:eastAsia="hi-IN" w:bidi="hi-IN"/>
        </w:rPr>
        <w:t xml:space="preserve"> </w:t>
      </w:r>
    </w:p>
    <w:p w:rsidR="00B751FD" w:rsidRPr="00D24BE9" w:rsidRDefault="00C05B70" w:rsidP="00750FA5">
      <w:pPr>
        <w:rPr>
          <w:lang w:val="hr-HR" w:eastAsia="ar-SA"/>
        </w:rPr>
      </w:pPr>
      <w:r w:rsidRPr="00133151">
        <w:rPr>
          <w:lang w:val="hr-HR" w:eastAsia="ar-SA"/>
        </w:rPr>
        <w:t>Nužno je zaštititi i očuvati sve prirodne resurse u narednom periodu, i to dosljednim</w:t>
      </w:r>
      <w:r w:rsidRPr="00206B94">
        <w:rPr>
          <w:lang w:val="hr-HR" w:eastAsia="ar-SA"/>
        </w:rPr>
        <w:t xml:space="preserve"> provođenjem mjera zaštite. Jako je bitno raditi na implementiranju okolinskih zakona FBiH, na uključivanju općinskih službi i organa civilne zaštite</w:t>
      </w:r>
      <w:r>
        <w:rPr>
          <w:lang w:val="hr-HR" w:eastAsia="ar-SA"/>
        </w:rPr>
        <w:t>,</w:t>
      </w:r>
      <w:r w:rsidRPr="00206B94">
        <w:rPr>
          <w:lang w:val="hr-HR" w:eastAsia="ar-SA"/>
        </w:rPr>
        <w:t xml:space="preserve"> kao i na podizanju ekološke svijesti stanovništva o očuvanju i sprečavanju zagađenja okoline, što je u određenoj mjeri već prisutno kroz rad nevladinih organizacija i udruženja. </w:t>
      </w:r>
    </w:p>
    <w:p w:rsidR="00D03866" w:rsidRDefault="00D03866" w:rsidP="00AD59CB">
      <w:pPr>
        <w:pStyle w:val="Heading4"/>
        <w:rPr>
          <w:lang w:val="hr-HR" w:eastAsia="hi-IN" w:bidi="hi-IN"/>
        </w:rPr>
      </w:pPr>
      <w:bookmarkStart w:id="84" w:name="_Toc500140035"/>
      <w:r w:rsidRPr="00D03866">
        <w:rPr>
          <w:lang w:val="hr-HR" w:eastAsia="hi-IN" w:bidi="hi-IN"/>
        </w:rPr>
        <w:t>Sistem zaštite i spašavanja općine Kalesija</w:t>
      </w:r>
      <w:bookmarkEnd w:id="84"/>
    </w:p>
    <w:p w:rsidR="0048618D" w:rsidRPr="0013489B" w:rsidRDefault="00D03866" w:rsidP="0048618D">
      <w:pPr>
        <w:rPr>
          <w:lang w:val="hr-HR" w:eastAsia="hi-IN" w:bidi="hi-IN"/>
        </w:rPr>
      </w:pPr>
      <w:r w:rsidRPr="0094519D">
        <w:rPr>
          <w:lang w:val="hr-HR" w:eastAsia="hi-IN" w:bidi="hi-IN"/>
        </w:rPr>
        <w:t>Sistem zaštite i spašavanja općine Kalesija regulisan je na osnovu Odluke o organizovanju i funkcionisanju zaštite i spašavanja ljudi i materijalnih dobara od prirodnih i drugih nesreća većih razmje</w:t>
      </w:r>
      <w:r w:rsidR="00B751FD">
        <w:rPr>
          <w:lang w:val="hr-HR" w:eastAsia="hi-IN" w:bidi="hi-IN"/>
        </w:rPr>
        <w:t>ra na području općine Kalesija</w:t>
      </w:r>
      <w:r w:rsidR="00B751FD">
        <w:rPr>
          <w:rStyle w:val="FootnoteReference"/>
          <w:lang w:val="hr-HR" w:eastAsia="hi-IN" w:bidi="hi-IN"/>
        </w:rPr>
        <w:footnoteReference w:id="51"/>
      </w:r>
      <w:r w:rsidRPr="0094519D">
        <w:rPr>
          <w:lang w:val="hr-HR" w:eastAsia="hi-IN" w:bidi="hi-IN"/>
        </w:rPr>
        <w:t>,</w:t>
      </w:r>
      <w:r w:rsidR="00617CFD">
        <w:rPr>
          <w:lang w:val="hr-HR" w:eastAsia="hi-IN" w:bidi="hi-IN"/>
        </w:rPr>
        <w:t xml:space="preserve"> koja je donesena</w:t>
      </w:r>
      <w:r w:rsidRPr="0094519D">
        <w:rPr>
          <w:lang w:val="hr-HR" w:eastAsia="hi-IN" w:bidi="hi-IN"/>
        </w:rPr>
        <w:t xml:space="preserve"> s ciljem sprečavanja opasnosti, smanjenja broja nesreća i žrtava te </w:t>
      </w:r>
      <w:r w:rsidRPr="0013489B">
        <w:rPr>
          <w:lang w:val="hr-HR" w:eastAsia="hi-IN" w:bidi="hi-IN"/>
        </w:rPr>
        <w:t>otklanjanja i ublažavanja štetnih djelovanja i posljedica prirodnih i drugih nesreća.</w:t>
      </w:r>
      <w:r w:rsidR="0013489B" w:rsidRPr="0013489B">
        <w:rPr>
          <w:lang w:val="hr-HR" w:eastAsia="hi-IN" w:bidi="hi-IN"/>
        </w:rPr>
        <w:t xml:space="preserve"> Općina Kalesija ima ažuriran P</w:t>
      </w:r>
      <w:r w:rsidR="0048618D" w:rsidRPr="0013489B">
        <w:rPr>
          <w:lang w:val="hr-HR" w:eastAsia="hi-IN" w:bidi="hi-IN"/>
        </w:rPr>
        <w:t>rogram ugroženosti od prirodnih i drugih nepogoda, a na osnovu koji</w:t>
      </w:r>
      <w:r w:rsidR="0013489B" w:rsidRPr="0013489B">
        <w:rPr>
          <w:lang w:val="hr-HR" w:eastAsia="hi-IN" w:bidi="hi-IN"/>
        </w:rPr>
        <w:t>h se radi novi P</w:t>
      </w:r>
      <w:r w:rsidR="0048618D" w:rsidRPr="0013489B">
        <w:rPr>
          <w:lang w:val="hr-HR" w:eastAsia="hi-IN" w:bidi="hi-IN"/>
        </w:rPr>
        <w:t>lan zaštite i spašavanj</w:t>
      </w:r>
      <w:r w:rsidR="0013489B" w:rsidRPr="0013489B">
        <w:rPr>
          <w:lang w:val="hr-HR" w:eastAsia="hi-IN" w:bidi="hi-IN"/>
        </w:rPr>
        <w:t>a</w:t>
      </w:r>
      <w:r w:rsidR="0048618D" w:rsidRPr="0013489B">
        <w:rPr>
          <w:lang w:val="hr-HR" w:eastAsia="hi-IN" w:bidi="hi-IN"/>
        </w:rPr>
        <w:t xml:space="preserve"> na pod</w:t>
      </w:r>
      <w:r w:rsidR="000518DD" w:rsidRPr="0013489B">
        <w:rPr>
          <w:lang w:val="hr-HR" w:eastAsia="hi-IN" w:bidi="hi-IN"/>
        </w:rPr>
        <w:t>ručju općine Kalesija. P</w:t>
      </w:r>
      <w:r w:rsidR="0013489B" w:rsidRPr="0013489B">
        <w:rPr>
          <w:lang w:val="hr-HR" w:eastAsia="hi-IN" w:bidi="hi-IN"/>
        </w:rPr>
        <w:t>rema p</w:t>
      </w:r>
      <w:r w:rsidR="000518DD" w:rsidRPr="0013489B">
        <w:rPr>
          <w:lang w:val="hr-HR" w:eastAsia="hi-IN" w:bidi="hi-IN"/>
        </w:rPr>
        <w:t>rocjen</w:t>
      </w:r>
      <w:r w:rsidR="0013489B" w:rsidRPr="0013489B">
        <w:rPr>
          <w:lang w:val="hr-HR" w:eastAsia="hi-IN" w:bidi="hi-IN"/>
        </w:rPr>
        <w:t>i</w:t>
      </w:r>
      <w:r w:rsidR="0048618D" w:rsidRPr="0013489B">
        <w:rPr>
          <w:lang w:val="hr-HR" w:eastAsia="hi-IN" w:bidi="hi-IN"/>
        </w:rPr>
        <w:t xml:space="preserve"> ugroženost</w:t>
      </w:r>
      <w:r w:rsidR="0013489B" w:rsidRPr="0013489B">
        <w:rPr>
          <w:lang w:val="hr-HR" w:eastAsia="hi-IN" w:bidi="hi-IN"/>
        </w:rPr>
        <w:t>i</w:t>
      </w:r>
      <w:r w:rsidR="000518DD" w:rsidRPr="0013489B">
        <w:rPr>
          <w:lang w:val="hr-HR" w:eastAsia="hi-IN" w:bidi="hi-IN"/>
        </w:rPr>
        <w:t xml:space="preserve"> utvrđeni </w:t>
      </w:r>
      <w:r w:rsidR="002610E2" w:rsidRPr="0013489B">
        <w:rPr>
          <w:lang w:val="hr-HR" w:eastAsia="hi-IN" w:bidi="hi-IN"/>
        </w:rPr>
        <w:t xml:space="preserve">rizici </w:t>
      </w:r>
      <w:r w:rsidR="0013489B" w:rsidRPr="0013489B">
        <w:rPr>
          <w:lang w:val="hr-HR" w:eastAsia="hi-IN" w:bidi="hi-IN"/>
        </w:rPr>
        <w:t>u</w:t>
      </w:r>
      <w:r w:rsidR="002610E2" w:rsidRPr="0013489B">
        <w:rPr>
          <w:lang w:val="hr-HR" w:eastAsia="hi-IN" w:bidi="hi-IN"/>
        </w:rPr>
        <w:t xml:space="preserve"> općini </w:t>
      </w:r>
      <w:r w:rsidR="0013489B" w:rsidRPr="0013489B">
        <w:rPr>
          <w:lang w:val="hr-HR" w:eastAsia="hi-IN" w:bidi="hi-IN"/>
        </w:rPr>
        <w:t>su</w:t>
      </w:r>
      <w:r w:rsidR="002610E2" w:rsidRPr="0013489B">
        <w:rPr>
          <w:lang w:val="hr-HR" w:eastAsia="hi-IN" w:bidi="hi-IN"/>
        </w:rPr>
        <w:t>: poplave, suše, klizišta i požari.</w:t>
      </w:r>
    </w:p>
    <w:p w:rsidR="00D03866" w:rsidRPr="0013489B" w:rsidRDefault="002610E2" w:rsidP="008A2A6D">
      <w:pPr>
        <w:rPr>
          <w:lang w:val="hr-HR" w:eastAsia="hi-IN" w:bidi="hi-IN"/>
        </w:rPr>
      </w:pPr>
      <w:r w:rsidRPr="0013489B">
        <w:rPr>
          <w:lang w:val="hr-HR" w:eastAsia="hi-IN" w:bidi="hi-IN"/>
        </w:rPr>
        <w:lastRenderedPageBreak/>
        <w:t xml:space="preserve">Preventive mjere zaštite od poplave su </w:t>
      </w:r>
      <w:r w:rsidR="0013489B" w:rsidRPr="0013489B">
        <w:rPr>
          <w:lang w:val="hr-HR" w:eastAsia="hi-IN" w:bidi="hi-IN"/>
        </w:rPr>
        <w:t>definisane P</w:t>
      </w:r>
      <w:r w:rsidRPr="0013489B">
        <w:rPr>
          <w:lang w:val="hr-HR" w:eastAsia="hi-IN" w:bidi="hi-IN"/>
        </w:rPr>
        <w:t>lano</w:t>
      </w:r>
      <w:r w:rsidR="0013489B" w:rsidRPr="0013489B">
        <w:rPr>
          <w:lang w:val="hr-HR" w:eastAsia="hi-IN" w:bidi="hi-IN"/>
        </w:rPr>
        <w:t xml:space="preserve">m, a to je prvenstveno uređenje </w:t>
      </w:r>
      <w:r w:rsidRPr="0013489B">
        <w:rPr>
          <w:lang w:val="hr-HR" w:eastAsia="hi-IN" w:bidi="hi-IN"/>
        </w:rPr>
        <w:t xml:space="preserve">vodotoka i zaštita vodenog pojasa nedozvoljene gradnje, </w:t>
      </w:r>
      <w:r w:rsidR="0013489B" w:rsidRPr="0013489B">
        <w:rPr>
          <w:lang w:val="hr-HR" w:eastAsia="hi-IN" w:bidi="hi-IN"/>
        </w:rPr>
        <w:t>duž pritoka rijeke Spreč</w:t>
      </w:r>
      <w:r w:rsidRPr="0013489B">
        <w:rPr>
          <w:lang w:val="hr-HR" w:eastAsia="hi-IN" w:bidi="hi-IN"/>
        </w:rPr>
        <w:t>e</w:t>
      </w:r>
      <w:r w:rsidR="0013489B" w:rsidRPr="0013489B">
        <w:rPr>
          <w:lang w:val="hr-HR" w:eastAsia="hi-IN" w:bidi="hi-IN"/>
        </w:rPr>
        <w:t>. S</w:t>
      </w:r>
      <w:r w:rsidRPr="0013489B">
        <w:rPr>
          <w:lang w:val="hr-HR" w:eastAsia="hi-IN" w:bidi="hi-IN"/>
        </w:rPr>
        <w:t xml:space="preserve"> obzirom na veli</w:t>
      </w:r>
      <w:r w:rsidR="0013489B" w:rsidRPr="0013489B">
        <w:rPr>
          <w:lang w:val="hr-HR" w:eastAsia="hi-IN" w:bidi="hi-IN"/>
        </w:rPr>
        <w:t>č</w:t>
      </w:r>
      <w:r w:rsidRPr="0013489B">
        <w:rPr>
          <w:lang w:val="hr-HR" w:eastAsia="hi-IN" w:bidi="hi-IN"/>
        </w:rPr>
        <w:t>inu plavnog podru</w:t>
      </w:r>
      <w:r w:rsidR="0013489B" w:rsidRPr="0013489B">
        <w:rPr>
          <w:lang w:val="hr-HR" w:eastAsia="hi-IN" w:bidi="hi-IN"/>
        </w:rPr>
        <w:t>čja uz obalu rijeke Spreč</w:t>
      </w:r>
      <w:r w:rsidRPr="0013489B">
        <w:rPr>
          <w:lang w:val="hr-HR" w:eastAsia="hi-IN" w:bidi="hi-IN"/>
        </w:rPr>
        <w:t xml:space="preserve">e, prioritet je </w:t>
      </w:r>
      <w:r w:rsidR="0035132E" w:rsidRPr="0013489B">
        <w:rPr>
          <w:lang w:val="hr-HR" w:eastAsia="hi-IN" w:bidi="hi-IN"/>
        </w:rPr>
        <w:t>regulacija i čišćenje</w:t>
      </w:r>
      <w:r w:rsidR="0013489B" w:rsidRPr="0013489B">
        <w:rPr>
          <w:lang w:val="hr-HR" w:eastAsia="hi-IN" w:bidi="hi-IN"/>
        </w:rPr>
        <w:t xml:space="preserve"> ove</w:t>
      </w:r>
      <w:r w:rsidR="0035132E" w:rsidRPr="0013489B">
        <w:rPr>
          <w:lang w:val="hr-HR" w:eastAsia="hi-IN" w:bidi="hi-IN"/>
        </w:rPr>
        <w:t xml:space="preserve"> rijeke. Strateški pristup za smanj</w:t>
      </w:r>
      <w:r w:rsidR="0013489B" w:rsidRPr="0013489B">
        <w:rPr>
          <w:lang w:val="hr-HR" w:eastAsia="hi-IN" w:bidi="hi-IN"/>
        </w:rPr>
        <w:t>enje štete od suše podrazumjeva</w:t>
      </w:r>
      <w:r w:rsidR="0035132E" w:rsidRPr="0013489B">
        <w:rPr>
          <w:lang w:val="hr-HR" w:eastAsia="hi-IN" w:bidi="hi-IN"/>
        </w:rPr>
        <w:t xml:space="preserve"> izgradnju sistema za navodnjavanje</w:t>
      </w:r>
      <w:r w:rsidR="0013489B" w:rsidRPr="0013489B">
        <w:rPr>
          <w:lang w:val="hr-HR" w:eastAsia="hi-IN" w:bidi="hi-IN"/>
        </w:rPr>
        <w:t>. Nekontrolisana</w:t>
      </w:r>
      <w:r w:rsidR="0035132E" w:rsidRPr="0013489B">
        <w:rPr>
          <w:lang w:val="hr-HR" w:eastAsia="hi-IN" w:bidi="hi-IN"/>
        </w:rPr>
        <w:t xml:space="preserve"> gradnj</w:t>
      </w:r>
      <w:r w:rsidR="0013489B" w:rsidRPr="0013489B">
        <w:rPr>
          <w:lang w:val="hr-HR" w:eastAsia="hi-IN" w:bidi="hi-IN"/>
        </w:rPr>
        <w:t>u</w:t>
      </w:r>
      <w:r w:rsidR="0035132E" w:rsidRPr="0013489B">
        <w:rPr>
          <w:lang w:val="hr-HR" w:eastAsia="hi-IN" w:bidi="hi-IN"/>
        </w:rPr>
        <w:t xml:space="preserve"> objekata na rizičnim podru</w:t>
      </w:r>
      <w:r w:rsidR="0013489B" w:rsidRPr="0013489B">
        <w:rPr>
          <w:lang w:val="hr-HR" w:eastAsia="hi-IN" w:bidi="hi-IN"/>
        </w:rPr>
        <w:t>čj</w:t>
      </w:r>
      <w:r w:rsidR="0035132E" w:rsidRPr="0013489B">
        <w:rPr>
          <w:lang w:val="hr-HR" w:eastAsia="hi-IN" w:bidi="hi-IN"/>
        </w:rPr>
        <w:t>ima je faktor koji uti</w:t>
      </w:r>
      <w:r w:rsidR="0013489B" w:rsidRPr="0013489B">
        <w:rPr>
          <w:lang w:val="hr-HR" w:eastAsia="hi-IN" w:bidi="hi-IN"/>
        </w:rPr>
        <w:t>č</w:t>
      </w:r>
      <w:r w:rsidR="0035132E" w:rsidRPr="0013489B">
        <w:rPr>
          <w:lang w:val="hr-HR" w:eastAsia="hi-IN" w:bidi="hi-IN"/>
        </w:rPr>
        <w:t xml:space="preserve">e na pojave klizišta, odnosno ugrožavanje građevinskih objekata. Štete na poljoprivrednom zemljištu i šumskom zemljištu </w:t>
      </w:r>
      <w:r w:rsidR="0013489B" w:rsidRPr="0013489B">
        <w:rPr>
          <w:lang w:val="hr-HR" w:eastAsia="hi-IN" w:bidi="hi-IN"/>
        </w:rPr>
        <w:t xml:space="preserve">nastaju i kao </w:t>
      </w:r>
      <w:r w:rsidR="0035132E" w:rsidRPr="0013489B">
        <w:rPr>
          <w:lang w:val="hr-HR" w:eastAsia="hi-IN" w:bidi="hi-IN"/>
        </w:rPr>
        <w:t>posljedic</w:t>
      </w:r>
      <w:r w:rsidR="0013489B" w:rsidRPr="0013489B">
        <w:rPr>
          <w:lang w:val="hr-HR" w:eastAsia="hi-IN" w:bidi="hi-IN"/>
        </w:rPr>
        <w:t>a</w:t>
      </w:r>
      <w:r w:rsidR="0035132E" w:rsidRPr="0013489B">
        <w:rPr>
          <w:lang w:val="hr-HR" w:eastAsia="hi-IN" w:bidi="hi-IN"/>
        </w:rPr>
        <w:t xml:space="preserve"> neko</w:t>
      </w:r>
      <w:r w:rsidR="00564B55" w:rsidRPr="0013489B">
        <w:rPr>
          <w:lang w:val="hr-HR" w:eastAsia="hi-IN" w:bidi="hi-IN"/>
        </w:rPr>
        <w:t>trolisane sječe šuma.</w:t>
      </w:r>
    </w:p>
    <w:p w:rsidR="00645F45" w:rsidRDefault="00D03866" w:rsidP="008A2A6D">
      <w:pPr>
        <w:rPr>
          <w:lang w:val="hr-HR" w:eastAsia="hi-IN" w:bidi="hi-IN"/>
        </w:rPr>
      </w:pPr>
      <w:r w:rsidRPr="0013489B">
        <w:rPr>
          <w:lang w:val="hr-HR" w:eastAsia="hi-IN" w:bidi="hi-IN"/>
        </w:rPr>
        <w:t xml:space="preserve">Organizovanje i funkcionisanje zaštite i spašavanja na području Općine se vrši na način i postupak utvrđen </w:t>
      </w:r>
      <w:r w:rsidR="00372DF9" w:rsidRPr="0013489B">
        <w:rPr>
          <w:lang w:val="hr-HR" w:eastAsia="hi-IN" w:bidi="hi-IN"/>
        </w:rPr>
        <w:t xml:space="preserve">Federalnim </w:t>
      </w:r>
      <w:r w:rsidRPr="0013489B">
        <w:rPr>
          <w:lang w:val="hr-HR" w:eastAsia="hi-IN" w:bidi="hi-IN"/>
        </w:rPr>
        <w:t>Zakonom o zaštiti i spašavanju ljudi i materijalnih dobara od prirodnih i drugih nesreća većih</w:t>
      </w:r>
      <w:r w:rsidRPr="0094519D">
        <w:rPr>
          <w:lang w:val="hr-HR" w:eastAsia="hi-IN" w:bidi="hi-IN"/>
        </w:rPr>
        <w:t xml:space="preserve"> razmjera</w:t>
      </w:r>
      <w:r w:rsidR="00617CFD">
        <w:rPr>
          <w:rStyle w:val="FootnoteReference"/>
          <w:lang w:val="hr-HR" w:eastAsia="hi-IN" w:bidi="hi-IN"/>
        </w:rPr>
        <w:footnoteReference w:id="52"/>
      </w:r>
      <w:r w:rsidRPr="0094519D">
        <w:rPr>
          <w:lang w:val="hr-HR" w:eastAsia="hi-IN" w:bidi="hi-IN"/>
        </w:rPr>
        <w:t xml:space="preserve">, </w:t>
      </w:r>
      <w:r w:rsidR="00372DF9">
        <w:rPr>
          <w:lang w:val="hr-HR" w:eastAsia="hi-IN" w:bidi="hi-IN"/>
        </w:rPr>
        <w:t xml:space="preserve">kantonalnim </w:t>
      </w:r>
      <w:r w:rsidRPr="0094519D">
        <w:rPr>
          <w:rFonts w:eastAsia="Times New Roman"/>
          <w:lang w:val="hr-HR" w:eastAsia="hi-IN" w:bidi="hi-IN"/>
        </w:rPr>
        <w:t>Zakon</w:t>
      </w:r>
      <w:r w:rsidR="00372DF9">
        <w:rPr>
          <w:rFonts w:eastAsia="Times New Roman"/>
          <w:lang w:val="hr-HR" w:eastAsia="hi-IN" w:bidi="hi-IN"/>
        </w:rPr>
        <w:t>om</w:t>
      </w:r>
      <w:r w:rsidRPr="0094519D">
        <w:rPr>
          <w:rFonts w:eastAsia="Times New Roman"/>
          <w:lang w:val="hr-HR" w:eastAsia="hi-IN" w:bidi="hi-IN"/>
        </w:rPr>
        <w:t xml:space="preserve"> o zaštiti i spašavanju ljudi i materijalnih dobara od prirodnih i drugi</w:t>
      </w:r>
      <w:r w:rsidR="00372DF9">
        <w:rPr>
          <w:rFonts w:eastAsia="Times New Roman"/>
          <w:lang w:val="hr-HR" w:eastAsia="hi-IN" w:bidi="hi-IN"/>
        </w:rPr>
        <w:t>h nesreća u Tuzlanskom kantonu</w:t>
      </w:r>
      <w:r w:rsidR="00372DF9">
        <w:rPr>
          <w:rStyle w:val="FootnoteReference"/>
          <w:rFonts w:eastAsia="Times New Roman"/>
          <w:lang w:val="hr-HR" w:eastAsia="hi-IN" w:bidi="hi-IN"/>
        </w:rPr>
        <w:footnoteReference w:id="53"/>
      </w:r>
      <w:r w:rsidR="00372DF9">
        <w:rPr>
          <w:lang w:val="hr-HR" w:eastAsia="hi-IN" w:bidi="hi-IN"/>
        </w:rPr>
        <w:t>, te pozitivnim</w:t>
      </w:r>
      <w:r w:rsidRPr="0094519D">
        <w:rPr>
          <w:lang w:val="hr-HR" w:eastAsia="hi-IN" w:bidi="hi-IN"/>
        </w:rPr>
        <w:t xml:space="preserve"> podzakonski</w:t>
      </w:r>
      <w:r w:rsidR="00372DF9">
        <w:rPr>
          <w:lang w:val="hr-HR" w:eastAsia="hi-IN" w:bidi="hi-IN"/>
        </w:rPr>
        <w:t>m</w:t>
      </w:r>
      <w:r w:rsidRPr="0094519D">
        <w:rPr>
          <w:lang w:val="hr-HR" w:eastAsia="hi-IN" w:bidi="hi-IN"/>
        </w:rPr>
        <w:t xml:space="preserve"> propis</w:t>
      </w:r>
      <w:r w:rsidR="00372DF9">
        <w:rPr>
          <w:lang w:val="hr-HR" w:eastAsia="hi-IN" w:bidi="hi-IN"/>
        </w:rPr>
        <w:t xml:space="preserve">ima, gdje su precizno </w:t>
      </w:r>
      <w:r w:rsidRPr="0094519D">
        <w:rPr>
          <w:lang w:val="hr-HR" w:eastAsia="hi-IN" w:bidi="hi-IN"/>
        </w:rPr>
        <w:t>regulisani Poslovi zaštite i spašavanja ljudi i materijalnih dobara od prirodnih i drugih nesreća od opć</w:t>
      </w:r>
      <w:r>
        <w:rPr>
          <w:lang w:val="hr-HR" w:eastAsia="hi-IN" w:bidi="hi-IN"/>
        </w:rPr>
        <w:t>eg interesa za općinu Kalesija.</w:t>
      </w:r>
    </w:p>
    <w:p w:rsidR="00564B55" w:rsidRPr="00502094" w:rsidRDefault="00564B55" w:rsidP="00564B55">
      <w:pPr>
        <w:pStyle w:val="Heading4"/>
      </w:pPr>
      <w:bookmarkStart w:id="85" w:name="_Toc500140036"/>
      <w:r w:rsidRPr="00502094">
        <w:t>Klizište poplave požari</w:t>
      </w:r>
      <w:bookmarkEnd w:id="85"/>
    </w:p>
    <w:p w:rsidR="00502094" w:rsidRPr="00502094" w:rsidRDefault="00564B55" w:rsidP="00564B55">
      <w:r w:rsidRPr="00502094">
        <w:t xml:space="preserve">Općina se odlikuje izrazitom raznovrsnošću litostrutigrafskog sastava terena, </w:t>
      </w:r>
      <w:r w:rsidR="00F10D0D" w:rsidRPr="00502094">
        <w:t xml:space="preserve">sa </w:t>
      </w:r>
      <w:r w:rsidRPr="00502094">
        <w:t>razli</w:t>
      </w:r>
      <w:r w:rsidR="00F10D0D" w:rsidRPr="00502094">
        <w:t>č</w:t>
      </w:r>
      <w:r w:rsidRPr="00502094">
        <w:t>itim reljefnim karakteristikama</w:t>
      </w:r>
      <w:r w:rsidR="00F10D0D" w:rsidRPr="00502094">
        <w:t>. Polovinu teritorije O</w:t>
      </w:r>
      <w:r w:rsidRPr="00502094">
        <w:t xml:space="preserve">pćine </w:t>
      </w:r>
      <w:r w:rsidR="00F10D0D" w:rsidRPr="00502094">
        <w:t>čini</w:t>
      </w:r>
      <w:r w:rsidRPr="00502094">
        <w:t xml:space="preserve"> brdsko plani</w:t>
      </w:r>
      <w:r w:rsidR="00F10D0D" w:rsidRPr="00502094">
        <w:t>n</w:t>
      </w:r>
      <w:r w:rsidRPr="00502094">
        <w:t>ski predio, razli</w:t>
      </w:r>
      <w:r w:rsidR="00F10D0D" w:rsidRPr="00502094">
        <w:t>č</w:t>
      </w:r>
      <w:r w:rsidRPr="00502094">
        <w:t>itim klimatskim karakteristikama, vodenim tokovima različitog nagiba</w:t>
      </w:r>
      <w:r w:rsidR="00F10D0D" w:rsidRPr="00502094">
        <w:t>,</w:t>
      </w:r>
      <w:r w:rsidRPr="00502094">
        <w:t xml:space="preserve"> kao i veoma značajnim utjecajem č</w:t>
      </w:r>
      <w:r w:rsidR="001E0BD7" w:rsidRPr="00502094">
        <w:t>ovje</w:t>
      </w:r>
      <w:r w:rsidR="00F10D0D" w:rsidRPr="00502094">
        <w:t>kovog djelovanja</w:t>
      </w:r>
      <w:r w:rsidR="001E0BD7" w:rsidRPr="00502094">
        <w:t xml:space="preserve"> na terenu. Sve navedeno u odgovarajućem obimu ima i uticaj na inženjersko geološke karakteristike tla. Klizišta na području općine Kalesija prestavljaju posebnu opasnost za materijalna dobra i ljudske živote. Na </w:t>
      </w:r>
      <w:r w:rsidR="00F10D0D" w:rsidRPr="00502094">
        <w:t>području Općine u poslednjih 10 g</w:t>
      </w:r>
      <w:r w:rsidR="001E0BD7" w:rsidRPr="00502094">
        <w:t>odina registrovano je preko 500 klizišt</w:t>
      </w:r>
      <w:r w:rsidR="00F10D0D" w:rsidRPr="00502094">
        <w:t>a. Tokom 2014 godine, eskalirali su problemi sa klizištima</w:t>
      </w:r>
      <w:r w:rsidR="001E0BD7" w:rsidRPr="00502094">
        <w:t>, tako da je broj klizišta više nego udvostručen. Hronološki posmatrano</w:t>
      </w:r>
      <w:r w:rsidR="009B090B" w:rsidRPr="00502094">
        <w:t>,</w:t>
      </w:r>
      <w:r w:rsidR="001E0BD7" w:rsidRPr="00502094">
        <w:t xml:space="preserve"> može se konstatovati da je do 2014. godine najkritičnija bila 2001. </w:t>
      </w:r>
      <w:r w:rsidR="00274BDA" w:rsidRPr="00502094">
        <w:t>g</w:t>
      </w:r>
      <w:r w:rsidR="001E0BD7" w:rsidRPr="00502094">
        <w:t>odina, u kojoj je registrovano oko 70 novih klizišta</w:t>
      </w:r>
      <w:r w:rsidR="00274BDA" w:rsidRPr="00502094">
        <w:t>. Ist</w:t>
      </w:r>
      <w:r w:rsidR="009B090B" w:rsidRPr="00502094">
        <w:t>im je bilo ugroženo 163 stabeno-</w:t>
      </w:r>
      <w:r w:rsidR="00274BDA" w:rsidRPr="00502094">
        <w:t>porodič</w:t>
      </w:r>
      <w:r w:rsidR="009B090B" w:rsidRPr="00502094">
        <w:t>nih objekata</w:t>
      </w:r>
      <w:r w:rsidR="00274BDA" w:rsidRPr="00502094">
        <w:t xml:space="preserve">. Tokom 2014 godine, 473 </w:t>
      </w:r>
      <w:r w:rsidR="009B090B" w:rsidRPr="00502094">
        <w:t xml:space="preserve">objekta </w:t>
      </w:r>
      <w:r w:rsidR="00274BDA" w:rsidRPr="00502094">
        <w:t>su direktno ugrožena, od toga više od 60 je u fazi rušenja, kao i veći broj pomoćnih i drugih objekata u mjesnim zajednicama: Hrasno, Kikači, Tojšići, Rainci Gornji, Miljanov</w:t>
      </w:r>
      <w:r w:rsidR="009B090B" w:rsidRPr="00502094">
        <w:t>ci, Mahmutovići, Jajići, Memići</w:t>
      </w:r>
      <w:r w:rsidR="00274BDA" w:rsidRPr="00502094">
        <w:t xml:space="preserve"> </w:t>
      </w:r>
      <w:r w:rsidR="009B090B" w:rsidRPr="00502094">
        <w:t xml:space="preserve">i </w:t>
      </w:r>
      <w:r w:rsidR="00274BDA" w:rsidRPr="00502094">
        <w:t xml:space="preserve">Gornja Kalesija. Nastala šteta u 2014. </w:t>
      </w:r>
      <w:r w:rsidR="009B090B" w:rsidRPr="00502094">
        <w:t>g</w:t>
      </w:r>
      <w:r w:rsidR="00274BDA" w:rsidRPr="00502094">
        <w:t>odini</w:t>
      </w:r>
      <w:r w:rsidR="009B090B" w:rsidRPr="00502094">
        <w:t>,</w:t>
      </w:r>
      <w:r w:rsidR="00274BDA" w:rsidRPr="00502094">
        <w:t xml:space="preserve"> kad</w:t>
      </w:r>
      <w:r w:rsidR="009B090B" w:rsidRPr="00502094">
        <w:t>a</w:t>
      </w:r>
      <w:r w:rsidR="00274BDA" w:rsidRPr="00502094">
        <w:t xml:space="preserve"> su u pitanju klizišta</w:t>
      </w:r>
      <w:r w:rsidR="009B090B" w:rsidRPr="00502094">
        <w:t>,</w:t>
      </w:r>
      <w:r w:rsidR="00274BDA" w:rsidRPr="00502094">
        <w:t xml:space="preserve"> proc</w:t>
      </w:r>
      <w:r w:rsidR="009B090B" w:rsidRPr="00502094">
        <w:t>i</w:t>
      </w:r>
      <w:r w:rsidR="00274BDA" w:rsidRPr="00502094">
        <w:t>je</w:t>
      </w:r>
      <w:r w:rsidR="009B090B" w:rsidRPr="00502094">
        <w:t>nje</w:t>
      </w:r>
      <w:r w:rsidR="00274BDA" w:rsidRPr="00502094">
        <w:t xml:space="preserve">na je </w:t>
      </w:r>
      <w:r w:rsidR="009B090B" w:rsidRPr="00502094">
        <w:t xml:space="preserve">na </w:t>
      </w:r>
      <w:r w:rsidR="00274BDA" w:rsidRPr="00502094">
        <w:t xml:space="preserve">preko 30 miliona KM. Zbog konfiguracije terena </w:t>
      </w:r>
      <w:r w:rsidR="009B090B" w:rsidRPr="00502094">
        <w:t xml:space="preserve"> u </w:t>
      </w:r>
      <w:r w:rsidR="00A36A33" w:rsidRPr="00502094">
        <w:t>sliv</w:t>
      </w:r>
      <w:r w:rsidR="009B090B" w:rsidRPr="00502094">
        <w:t>u</w:t>
      </w:r>
      <w:r w:rsidR="00A36A33" w:rsidRPr="00502094">
        <w:t xml:space="preserve"> </w:t>
      </w:r>
      <w:r w:rsidR="009B090B" w:rsidRPr="00502094">
        <w:t xml:space="preserve">rijeke </w:t>
      </w:r>
      <w:r w:rsidR="00A36A33" w:rsidRPr="00502094">
        <w:t>Spreče poplavama mogu biti ugroženi životi ljudi i materijalna dobra</w:t>
      </w:r>
      <w:r w:rsidR="009B090B" w:rsidRPr="00502094">
        <w:t xml:space="preserve"> u postojećim naseljima</w:t>
      </w:r>
      <w:r w:rsidR="00A36A33" w:rsidRPr="00502094">
        <w:t xml:space="preserve">. </w:t>
      </w:r>
      <w:r w:rsidR="009B090B" w:rsidRPr="00502094">
        <w:t xml:space="preserve">U donjem dijelu toka rijeke </w:t>
      </w:r>
      <w:r w:rsidR="00A36A33" w:rsidRPr="00502094">
        <w:t>Gribaj</w:t>
      </w:r>
      <w:r w:rsidR="009B090B" w:rsidRPr="00502094">
        <w:t>e, na</w:t>
      </w:r>
      <w:r w:rsidR="00A36A33" w:rsidRPr="00502094">
        <w:t xml:space="preserve"> ušću sa Hrašljanskom Rijekom</w:t>
      </w:r>
      <w:r w:rsidR="009B090B" w:rsidRPr="00502094">
        <w:t xml:space="preserve"> </w:t>
      </w:r>
      <w:r w:rsidR="00A36A33" w:rsidRPr="00502094">
        <w:t>u Babinoj Luci i nizvodno u Kikačima, do zaseoka Bara</w:t>
      </w:r>
      <w:r w:rsidR="009B090B" w:rsidRPr="00502094">
        <w:t>, na području m</w:t>
      </w:r>
      <w:r w:rsidR="00A36A33" w:rsidRPr="00502094">
        <w:t xml:space="preserve">jesnih zajednica Kikači i Tojšići poplavom je ugroženo od 600 do 800 građana te </w:t>
      </w:r>
      <w:r w:rsidR="009B090B" w:rsidRPr="00502094">
        <w:t>oko 100</w:t>
      </w:r>
      <w:r w:rsidR="00A36A33" w:rsidRPr="00502094">
        <w:t xml:space="preserve"> sta</w:t>
      </w:r>
      <w:r w:rsidR="009B090B" w:rsidRPr="00502094">
        <w:t>mbeno-</w:t>
      </w:r>
      <w:r w:rsidR="00A36A33" w:rsidRPr="00502094">
        <w:t>porodičnih i privrednih objekata. Međaš potok u naselju Međaš ugrožava putnu komunikaciju kao i sta</w:t>
      </w:r>
      <w:r w:rsidR="009B090B" w:rsidRPr="00502094">
        <w:t>m</w:t>
      </w:r>
      <w:r w:rsidR="00A36A33" w:rsidRPr="00502094">
        <w:t>bene i privredne objekte. Rainačka Rijeka u zaseoku Pjanići ugrožava 20</w:t>
      </w:r>
      <w:r w:rsidR="009B090B" w:rsidRPr="00502094">
        <w:t xml:space="preserve"> s</w:t>
      </w:r>
      <w:r w:rsidR="00A36A33" w:rsidRPr="00502094">
        <w:t>ta</w:t>
      </w:r>
      <w:r w:rsidR="009B090B" w:rsidRPr="00502094">
        <w:t>m</w:t>
      </w:r>
      <w:r w:rsidR="00A36A33" w:rsidRPr="00502094">
        <w:t>benih porodičnih kuća i 100 građana. Potok Huk u predjelu Miljanovaca u</w:t>
      </w:r>
      <w:r w:rsidR="00A06D36" w:rsidRPr="00502094">
        <w:t>grožav</w:t>
      </w:r>
      <w:r w:rsidR="002E46A9" w:rsidRPr="00502094">
        <w:t xml:space="preserve">a putnu komunikaciju, kao i 10 </w:t>
      </w:r>
      <w:r w:rsidR="00A06D36" w:rsidRPr="00502094">
        <w:t xml:space="preserve">domaćinstava sa 40 građana. Biljeljevac potok svojim tokom </w:t>
      </w:r>
      <w:r w:rsidR="00502094" w:rsidRPr="00502094">
        <w:t xml:space="preserve">u zaseoku Hamzići </w:t>
      </w:r>
      <w:r w:rsidR="00A06D36" w:rsidRPr="00502094">
        <w:t>ugrožava 20 sta</w:t>
      </w:r>
      <w:r w:rsidR="009B090B" w:rsidRPr="00502094">
        <w:t>m</w:t>
      </w:r>
      <w:r w:rsidR="00A06D36" w:rsidRPr="00502094">
        <w:t>benih i privrednih objekata sa 50 građana, a nizvodno ugrožava seoski put za Čaniće plaveć</w:t>
      </w:r>
      <w:r w:rsidR="009B090B" w:rsidRPr="00502094">
        <w:t>i</w:t>
      </w:r>
      <w:r w:rsidR="00A06D36" w:rsidRPr="00502094">
        <w:t xml:space="preserve"> komple</w:t>
      </w:r>
      <w:r w:rsidR="009B090B" w:rsidRPr="00502094">
        <w:t>ks</w:t>
      </w:r>
      <w:r w:rsidR="00A06D36" w:rsidRPr="00502094">
        <w:t xml:space="preserve"> poljoprivrednog zemljišta</w:t>
      </w:r>
      <w:r w:rsidR="00502094" w:rsidRPr="00502094">
        <w:t xml:space="preserve"> Crne Bare</w:t>
      </w:r>
      <w:r w:rsidR="00A06D36" w:rsidRPr="00502094">
        <w:t>. Kalesijska Rijeka u Gornjoj Kalesiji svojim tokom ugrožava 38 sta</w:t>
      </w:r>
      <w:r w:rsidR="00502094" w:rsidRPr="00502094">
        <w:t xml:space="preserve">mbenih </w:t>
      </w:r>
      <w:r w:rsidR="00A06D36" w:rsidRPr="00502094">
        <w:t>porodični</w:t>
      </w:r>
      <w:r w:rsidR="00502094" w:rsidRPr="00502094">
        <w:t>h</w:t>
      </w:r>
      <w:r w:rsidR="00A06D36" w:rsidRPr="00502094">
        <w:t xml:space="preserve"> objekat</w:t>
      </w:r>
      <w:r w:rsidR="00502094" w:rsidRPr="00502094">
        <w:t>a</w:t>
      </w:r>
      <w:r w:rsidR="00A06D36" w:rsidRPr="00502094">
        <w:t xml:space="preserve"> sa 100 građana</w:t>
      </w:r>
      <w:r w:rsidR="00A07615" w:rsidRPr="00502094">
        <w:t>. Memićka rijeka svojim donjim tokom ugrožava 100 sta</w:t>
      </w:r>
      <w:r w:rsidR="00502094" w:rsidRPr="00502094">
        <w:t>m</w:t>
      </w:r>
      <w:r w:rsidR="00A07615" w:rsidRPr="00502094">
        <w:t>ben</w:t>
      </w:r>
      <w:r w:rsidR="00502094" w:rsidRPr="00502094">
        <w:t>ih</w:t>
      </w:r>
      <w:r w:rsidR="00A07615" w:rsidRPr="00502094">
        <w:t xml:space="preserve"> porodični</w:t>
      </w:r>
      <w:r w:rsidR="00502094" w:rsidRPr="00502094">
        <w:t>h</w:t>
      </w:r>
      <w:r w:rsidR="00A07615" w:rsidRPr="00502094">
        <w:t xml:space="preserve"> objekat</w:t>
      </w:r>
      <w:r w:rsidR="00502094" w:rsidRPr="00502094">
        <w:t>a</w:t>
      </w:r>
      <w:r w:rsidR="00A07615" w:rsidRPr="00502094">
        <w:t xml:space="preserve"> sa 100 građana. Rijeka Spreča nizvodno od Prnjavora zbog specifičnih zavoja </w:t>
      </w:r>
      <w:r w:rsidR="00502094" w:rsidRPr="00502094">
        <w:t xml:space="preserve">u zaseoku Čanići </w:t>
      </w:r>
      <w:r w:rsidR="00A07615" w:rsidRPr="00502094">
        <w:t>izli</w:t>
      </w:r>
      <w:r w:rsidR="00502094" w:rsidRPr="00502094">
        <w:t>je</w:t>
      </w:r>
      <w:r w:rsidR="00A07615" w:rsidRPr="00502094">
        <w:t>va iz korita</w:t>
      </w:r>
      <w:r w:rsidR="00502094" w:rsidRPr="00502094">
        <w:t xml:space="preserve"> i </w:t>
      </w:r>
      <w:r w:rsidR="00A07615" w:rsidRPr="00502094">
        <w:t>plavi znatne količine poljoprivrednih površina i usjeva, kao i 15</w:t>
      </w:r>
      <w:r w:rsidR="00502094" w:rsidRPr="00502094">
        <w:t xml:space="preserve"> s</w:t>
      </w:r>
      <w:r w:rsidR="00A07615" w:rsidRPr="00502094">
        <w:t>ta</w:t>
      </w:r>
      <w:r w:rsidR="00502094" w:rsidRPr="00502094">
        <w:t>m</w:t>
      </w:r>
      <w:r w:rsidR="00A07615" w:rsidRPr="00502094">
        <w:t>beno</w:t>
      </w:r>
      <w:r w:rsidR="00502094" w:rsidRPr="00502094">
        <w:t>-</w:t>
      </w:r>
      <w:r w:rsidR="00A07615" w:rsidRPr="00502094">
        <w:t xml:space="preserve">porodičnih objekata sa 40 građana. </w:t>
      </w:r>
    </w:p>
    <w:p w:rsidR="00564B55" w:rsidRPr="00502094" w:rsidRDefault="00A07615" w:rsidP="00564B55">
      <w:r w:rsidRPr="00502094">
        <w:t>Analizirajući stanje protiv požarne zaštite na području Općine možemo konstatovati da proteklih godina u prosjeku godišnje imamo oko 60 požara ko</w:t>
      </w:r>
      <w:r w:rsidR="00502094" w:rsidRPr="00502094">
        <w:t>ji se uglavnom odnose na</w:t>
      </w:r>
      <w:r w:rsidRPr="00502094">
        <w:t xml:space="preserve"> šumske požare, požare na šikarama, sta</w:t>
      </w:r>
      <w:r w:rsidR="00502094" w:rsidRPr="00502094">
        <w:t>m</w:t>
      </w:r>
      <w:r w:rsidRPr="00502094">
        <w:t>benim objektima, pomo</w:t>
      </w:r>
      <w:r w:rsidR="00502094" w:rsidRPr="00502094">
        <w:t>ć</w:t>
      </w:r>
      <w:r w:rsidRPr="00502094">
        <w:t>nim i privred</w:t>
      </w:r>
      <w:r w:rsidR="00502094" w:rsidRPr="00502094">
        <w:t>nim objektima, vozilima na putu</w:t>
      </w:r>
      <w:r w:rsidRPr="00502094">
        <w:t xml:space="preserve"> </w:t>
      </w:r>
      <w:r w:rsidR="00502094" w:rsidRPr="00502094">
        <w:t xml:space="preserve">i </w:t>
      </w:r>
      <w:r w:rsidRPr="00502094">
        <w:t xml:space="preserve">deponiji smeća. </w:t>
      </w:r>
      <w:r w:rsidR="00502094" w:rsidRPr="00502094">
        <w:t>U</w:t>
      </w:r>
      <w:r w:rsidRPr="00502094">
        <w:t xml:space="preserve"> 2015. godini </w:t>
      </w:r>
      <w:r w:rsidR="00502094" w:rsidRPr="00502094">
        <w:t xml:space="preserve">zabilježeno je </w:t>
      </w:r>
      <w:r w:rsidRPr="00502094">
        <w:t xml:space="preserve">58 </w:t>
      </w:r>
      <w:r w:rsidR="00502094" w:rsidRPr="00502094">
        <w:t xml:space="preserve">požara, </w:t>
      </w:r>
      <w:r w:rsidRPr="00502094">
        <w:t>u 2016. godini 66</w:t>
      </w:r>
      <w:r w:rsidR="00502094" w:rsidRPr="00502094">
        <w:t xml:space="preserve"> požara,</w:t>
      </w:r>
      <w:r w:rsidRPr="00502094">
        <w:t xml:space="preserve"> </w:t>
      </w:r>
      <w:r w:rsidR="00345863" w:rsidRPr="00502094">
        <w:t xml:space="preserve">a u 2017. </w:t>
      </w:r>
      <w:r w:rsidR="00502094" w:rsidRPr="00502094">
        <w:t>g</w:t>
      </w:r>
      <w:r w:rsidR="00345863" w:rsidRPr="00502094">
        <w:t>odini 63 požara.</w:t>
      </w:r>
      <w:r w:rsidRPr="00502094">
        <w:t xml:space="preserve">                                                                                                      </w:t>
      </w:r>
    </w:p>
    <w:p w:rsidR="00645F45" w:rsidRPr="000C1F27" w:rsidRDefault="00645F45" w:rsidP="008B76AE">
      <w:pPr>
        <w:pStyle w:val="Heading5"/>
        <w:rPr>
          <w:lang w:val="hr-HR" w:eastAsia="hi-IN" w:bidi="hi-IN"/>
        </w:rPr>
      </w:pPr>
      <w:r w:rsidRPr="00502094">
        <w:rPr>
          <w:lang w:val="hr-HR" w:eastAsia="hi-IN" w:bidi="hi-IN"/>
        </w:rPr>
        <w:lastRenderedPageBreak/>
        <w:t>Ugroženost od NUS-a</w:t>
      </w:r>
    </w:p>
    <w:p w:rsidR="005C1B7A" w:rsidRDefault="00C92132" w:rsidP="00A01D01">
      <w:r>
        <w:t>Prema podacima BiH MAC-a za u</w:t>
      </w:r>
      <w:r w:rsidRPr="00C92132">
        <w:rPr>
          <w:rFonts w:eastAsia="TimesNewRomanPSMT"/>
        </w:rPr>
        <w:t>groženost od NUS-a</w:t>
      </w:r>
      <w:r>
        <w:t xml:space="preserve">, sumnjiva površina u odnosu na površinu općine je </w:t>
      </w:r>
      <w:r w:rsidRPr="002B7BD2">
        <w:t>5,57%</w:t>
      </w:r>
      <w:r w:rsidR="005C1B7A" w:rsidRPr="002B7BD2">
        <w:t>. U zadnji</w:t>
      </w:r>
      <w:r w:rsidR="002B7BD2" w:rsidRPr="002B7BD2">
        <w:t>h pet</w:t>
      </w:r>
      <w:r w:rsidR="005C1B7A" w:rsidRPr="002B7BD2">
        <w:t xml:space="preserve"> godina na području Općine zabilježen je jedan </w:t>
      </w:r>
      <w:r w:rsidR="002B7BD2" w:rsidRPr="002B7BD2">
        <w:t>minski incident, u kojem je jedna osoba smrtno stradala</w:t>
      </w:r>
      <w:r w:rsidR="005C1B7A" w:rsidRPr="002B7BD2">
        <w:t>.</w:t>
      </w:r>
      <w:r>
        <w:t xml:space="preserve"> </w:t>
      </w:r>
    </w:p>
    <w:p w:rsidR="00173CC4" w:rsidRPr="007B2938" w:rsidRDefault="00173CC4" w:rsidP="007B2938">
      <w:pPr>
        <w:pStyle w:val="GrafiTabele"/>
      </w:pPr>
      <w:r w:rsidRPr="00173CC4">
        <w:t xml:space="preserve">Tabela </w:t>
      </w:r>
      <w:r w:rsidR="00133151">
        <w:t>15</w:t>
      </w:r>
      <w:r w:rsidRPr="00BC1C88">
        <w:t>: Minska situa</w:t>
      </w:r>
      <w:r w:rsidR="007B2938">
        <w:t>cija na području općine Kalesija</w:t>
      </w:r>
    </w:p>
    <w:tbl>
      <w:tblPr>
        <w:tblStyle w:val="TableGrid"/>
        <w:tblW w:w="10098" w:type="dxa"/>
        <w:jc w:val="center"/>
        <w:tblLayout w:type="fixed"/>
        <w:tblLook w:val="04A0" w:firstRow="1" w:lastRow="0" w:firstColumn="1" w:lastColumn="0" w:noHBand="0" w:noVBand="1"/>
      </w:tblPr>
      <w:tblGrid>
        <w:gridCol w:w="1368"/>
        <w:gridCol w:w="1170"/>
        <w:gridCol w:w="990"/>
        <w:gridCol w:w="990"/>
        <w:gridCol w:w="990"/>
        <w:gridCol w:w="804"/>
        <w:gridCol w:w="804"/>
        <w:gridCol w:w="804"/>
        <w:gridCol w:w="1051"/>
        <w:gridCol w:w="1127"/>
      </w:tblGrid>
      <w:tr w:rsidR="007B2938" w:rsidRPr="004659C7" w:rsidTr="007B2938">
        <w:trPr>
          <w:trHeight w:val="332"/>
          <w:jc w:val="center"/>
        </w:trPr>
        <w:tc>
          <w:tcPr>
            <w:tcW w:w="1368" w:type="dxa"/>
            <w:vMerge w:val="restart"/>
            <w:shd w:val="clear" w:color="auto" w:fill="D9D9D9" w:themeFill="background1" w:themeFillShade="D9"/>
            <w:vAlign w:val="center"/>
          </w:tcPr>
          <w:p w:rsidR="007B2938" w:rsidRPr="007B2938" w:rsidRDefault="007B2938" w:rsidP="00133151">
            <w:pPr>
              <w:pStyle w:val="TextinTables"/>
              <w:jc w:val="center"/>
              <w:rPr>
                <w:b/>
              </w:rPr>
            </w:pPr>
            <w:r w:rsidRPr="007B2938">
              <w:rPr>
                <w:b/>
              </w:rPr>
              <w:t>Ukupna površina općine</w:t>
            </w:r>
          </w:p>
          <w:p w:rsidR="007B2938" w:rsidRPr="007B2938" w:rsidRDefault="007B2938" w:rsidP="00133151">
            <w:pPr>
              <w:pStyle w:val="TextinTables"/>
              <w:jc w:val="center"/>
              <w:rPr>
                <w:b/>
              </w:rPr>
            </w:pPr>
            <w:r w:rsidRPr="007B2938">
              <w:rPr>
                <w:b/>
              </w:rPr>
              <w:t>(m²)</w:t>
            </w:r>
          </w:p>
        </w:tc>
        <w:tc>
          <w:tcPr>
            <w:tcW w:w="1170" w:type="dxa"/>
            <w:vMerge w:val="restart"/>
            <w:shd w:val="clear" w:color="auto" w:fill="D9D9D9" w:themeFill="background1" w:themeFillShade="D9"/>
            <w:vAlign w:val="center"/>
          </w:tcPr>
          <w:p w:rsidR="007B2938" w:rsidRPr="007B2938" w:rsidRDefault="007B2938" w:rsidP="00133151">
            <w:pPr>
              <w:pStyle w:val="TextinTables"/>
              <w:jc w:val="center"/>
              <w:rPr>
                <w:b/>
              </w:rPr>
            </w:pPr>
            <w:r w:rsidRPr="007B2938">
              <w:rPr>
                <w:b/>
              </w:rPr>
              <w:t>Ukupna sumnljiva površina</w:t>
            </w:r>
          </w:p>
          <w:p w:rsidR="007B2938" w:rsidRPr="007B2938" w:rsidRDefault="007B2938" w:rsidP="00133151">
            <w:pPr>
              <w:pStyle w:val="TextinTables"/>
              <w:jc w:val="center"/>
              <w:rPr>
                <w:b/>
              </w:rPr>
            </w:pPr>
            <w:r w:rsidRPr="007B2938">
              <w:rPr>
                <w:b/>
              </w:rPr>
              <w:t>(m²)</w:t>
            </w:r>
          </w:p>
        </w:tc>
        <w:tc>
          <w:tcPr>
            <w:tcW w:w="2970" w:type="dxa"/>
            <w:gridSpan w:val="3"/>
            <w:shd w:val="clear" w:color="auto" w:fill="D9D9D9" w:themeFill="background1" w:themeFillShade="D9"/>
            <w:vAlign w:val="center"/>
          </w:tcPr>
          <w:p w:rsidR="007B2938" w:rsidRPr="007B2938" w:rsidRDefault="007B2938" w:rsidP="00133151">
            <w:pPr>
              <w:pStyle w:val="TextinTables"/>
              <w:jc w:val="center"/>
              <w:rPr>
                <w:b/>
              </w:rPr>
            </w:pPr>
            <w:r w:rsidRPr="007B2938">
              <w:rPr>
                <w:b/>
              </w:rPr>
              <w:t>Sumnjiva površina po kategorijama (m²)</w:t>
            </w:r>
          </w:p>
        </w:tc>
        <w:tc>
          <w:tcPr>
            <w:tcW w:w="2412" w:type="dxa"/>
            <w:gridSpan w:val="3"/>
            <w:shd w:val="clear" w:color="auto" w:fill="D9D9D9" w:themeFill="background1" w:themeFillShade="D9"/>
            <w:vAlign w:val="center"/>
          </w:tcPr>
          <w:p w:rsidR="007B2938" w:rsidRPr="007B2938" w:rsidRDefault="007B2938" w:rsidP="00133151">
            <w:pPr>
              <w:pStyle w:val="TextinTables"/>
              <w:jc w:val="center"/>
              <w:rPr>
                <w:b/>
              </w:rPr>
            </w:pPr>
            <w:r w:rsidRPr="007B2938">
              <w:rPr>
                <w:b/>
              </w:rPr>
              <w:t>Postotak sumnjive površine po kategorijama (%)</w:t>
            </w:r>
          </w:p>
        </w:tc>
        <w:tc>
          <w:tcPr>
            <w:tcW w:w="1051" w:type="dxa"/>
            <w:vMerge w:val="restart"/>
            <w:shd w:val="clear" w:color="auto" w:fill="D9D9D9" w:themeFill="background1" w:themeFillShade="D9"/>
            <w:vAlign w:val="center"/>
          </w:tcPr>
          <w:p w:rsidR="007B2938" w:rsidRPr="007B2938" w:rsidRDefault="007B2938" w:rsidP="00133151">
            <w:pPr>
              <w:pStyle w:val="TextinTables"/>
              <w:jc w:val="center"/>
              <w:rPr>
                <w:b/>
              </w:rPr>
            </w:pPr>
            <w:r w:rsidRPr="007B2938">
              <w:rPr>
                <w:b/>
              </w:rPr>
              <w:t>Procjena redukcije sistemskog izviđanja (m²)</w:t>
            </w:r>
          </w:p>
        </w:tc>
        <w:tc>
          <w:tcPr>
            <w:tcW w:w="1127" w:type="dxa"/>
            <w:vMerge w:val="restart"/>
            <w:shd w:val="clear" w:color="auto" w:fill="D9D9D9" w:themeFill="background1" w:themeFillShade="D9"/>
            <w:vAlign w:val="center"/>
          </w:tcPr>
          <w:p w:rsidR="007B2938" w:rsidRPr="007B2938" w:rsidRDefault="007B2938" w:rsidP="00133151">
            <w:pPr>
              <w:pStyle w:val="TextinTables"/>
              <w:jc w:val="center"/>
              <w:rPr>
                <w:b/>
              </w:rPr>
            </w:pPr>
            <w:r w:rsidRPr="007B2938">
              <w:rPr>
                <w:b/>
              </w:rPr>
              <w:t>Procjena redukcije sistemskog izviđanja</w:t>
            </w:r>
          </w:p>
          <w:p w:rsidR="007B2938" w:rsidRPr="007B2938" w:rsidRDefault="007B2938" w:rsidP="00133151">
            <w:pPr>
              <w:pStyle w:val="TextinTables"/>
              <w:jc w:val="center"/>
              <w:rPr>
                <w:b/>
              </w:rPr>
            </w:pPr>
            <w:r w:rsidRPr="007B2938">
              <w:rPr>
                <w:b/>
              </w:rPr>
              <w:t>(%)</w:t>
            </w:r>
          </w:p>
        </w:tc>
      </w:tr>
      <w:tr w:rsidR="007B2938" w:rsidRPr="004659C7" w:rsidTr="007B2938">
        <w:trPr>
          <w:trHeight w:val="559"/>
          <w:jc w:val="center"/>
        </w:trPr>
        <w:tc>
          <w:tcPr>
            <w:tcW w:w="1368" w:type="dxa"/>
            <w:vMerge/>
            <w:vAlign w:val="center"/>
          </w:tcPr>
          <w:p w:rsidR="007B2938" w:rsidRPr="004659C7" w:rsidRDefault="007B2938" w:rsidP="00133151">
            <w:pPr>
              <w:pStyle w:val="TextinTables"/>
            </w:pPr>
          </w:p>
        </w:tc>
        <w:tc>
          <w:tcPr>
            <w:tcW w:w="1170" w:type="dxa"/>
            <w:vMerge/>
            <w:vAlign w:val="center"/>
          </w:tcPr>
          <w:p w:rsidR="007B2938" w:rsidRPr="004659C7" w:rsidRDefault="007B2938" w:rsidP="00133151">
            <w:pPr>
              <w:pStyle w:val="TextinTables"/>
            </w:pPr>
          </w:p>
        </w:tc>
        <w:tc>
          <w:tcPr>
            <w:tcW w:w="990" w:type="dxa"/>
            <w:shd w:val="clear" w:color="auto" w:fill="D9D9D9" w:themeFill="background1" w:themeFillShade="D9"/>
            <w:vAlign w:val="center"/>
          </w:tcPr>
          <w:p w:rsidR="007B2938" w:rsidRPr="007B2938" w:rsidRDefault="007B2938" w:rsidP="00133151">
            <w:pPr>
              <w:pStyle w:val="TextinTables"/>
              <w:jc w:val="center"/>
              <w:rPr>
                <w:b/>
                <w:color w:val="000000"/>
              </w:rPr>
            </w:pPr>
            <w:r w:rsidRPr="007B2938">
              <w:rPr>
                <w:b/>
                <w:color w:val="000000"/>
              </w:rPr>
              <w:t>I</w:t>
            </w:r>
          </w:p>
          <w:p w:rsidR="007B2938" w:rsidRPr="007B2938" w:rsidRDefault="007B2938" w:rsidP="00133151">
            <w:pPr>
              <w:pStyle w:val="TextinTables"/>
              <w:jc w:val="center"/>
              <w:rPr>
                <w:b/>
              </w:rPr>
            </w:pPr>
            <w:r w:rsidRPr="007B2938">
              <w:rPr>
                <w:b/>
                <w:color w:val="000000"/>
              </w:rPr>
              <w:t>kat</w:t>
            </w:r>
          </w:p>
        </w:tc>
        <w:tc>
          <w:tcPr>
            <w:tcW w:w="990" w:type="dxa"/>
            <w:shd w:val="clear" w:color="auto" w:fill="D9D9D9" w:themeFill="background1" w:themeFillShade="D9"/>
            <w:vAlign w:val="center"/>
          </w:tcPr>
          <w:p w:rsidR="007B2938" w:rsidRPr="007B2938" w:rsidRDefault="007B2938" w:rsidP="00133151">
            <w:pPr>
              <w:pStyle w:val="TextinTables"/>
              <w:jc w:val="center"/>
              <w:rPr>
                <w:b/>
                <w:color w:val="000000"/>
              </w:rPr>
            </w:pPr>
            <w:r w:rsidRPr="007B2938">
              <w:rPr>
                <w:b/>
                <w:color w:val="000000"/>
              </w:rPr>
              <w:t>II</w:t>
            </w:r>
          </w:p>
          <w:p w:rsidR="007B2938" w:rsidRPr="007B2938" w:rsidRDefault="007B2938" w:rsidP="00133151">
            <w:pPr>
              <w:pStyle w:val="TextinTables"/>
              <w:jc w:val="center"/>
              <w:rPr>
                <w:b/>
              </w:rPr>
            </w:pPr>
            <w:r w:rsidRPr="007B2938">
              <w:rPr>
                <w:b/>
                <w:color w:val="000000"/>
              </w:rPr>
              <w:t>kat</w:t>
            </w:r>
          </w:p>
        </w:tc>
        <w:tc>
          <w:tcPr>
            <w:tcW w:w="990" w:type="dxa"/>
            <w:shd w:val="clear" w:color="auto" w:fill="D9D9D9" w:themeFill="background1" w:themeFillShade="D9"/>
            <w:vAlign w:val="center"/>
          </w:tcPr>
          <w:p w:rsidR="007B2938" w:rsidRPr="007B2938" w:rsidRDefault="007B2938" w:rsidP="00133151">
            <w:pPr>
              <w:pStyle w:val="TextinTables"/>
              <w:jc w:val="center"/>
              <w:rPr>
                <w:b/>
                <w:color w:val="000000"/>
              </w:rPr>
            </w:pPr>
            <w:r w:rsidRPr="007B2938">
              <w:rPr>
                <w:b/>
                <w:color w:val="000000"/>
              </w:rPr>
              <w:t>III</w:t>
            </w:r>
          </w:p>
          <w:p w:rsidR="007B2938" w:rsidRPr="007B2938" w:rsidRDefault="007B2938" w:rsidP="00133151">
            <w:pPr>
              <w:pStyle w:val="TextinTables"/>
              <w:jc w:val="center"/>
              <w:rPr>
                <w:b/>
              </w:rPr>
            </w:pPr>
            <w:r w:rsidRPr="007B2938">
              <w:rPr>
                <w:b/>
                <w:color w:val="000000"/>
              </w:rPr>
              <w:t>kat</w:t>
            </w:r>
          </w:p>
        </w:tc>
        <w:tc>
          <w:tcPr>
            <w:tcW w:w="804" w:type="dxa"/>
            <w:shd w:val="clear" w:color="auto" w:fill="D9D9D9" w:themeFill="background1" w:themeFillShade="D9"/>
            <w:vAlign w:val="center"/>
          </w:tcPr>
          <w:p w:rsidR="007B2938" w:rsidRPr="007B2938" w:rsidRDefault="007B2938" w:rsidP="00133151">
            <w:pPr>
              <w:pStyle w:val="TextinTables"/>
              <w:jc w:val="center"/>
              <w:rPr>
                <w:b/>
                <w:color w:val="000000"/>
              </w:rPr>
            </w:pPr>
            <w:r w:rsidRPr="007B2938">
              <w:rPr>
                <w:b/>
                <w:color w:val="000000"/>
              </w:rPr>
              <w:t>I</w:t>
            </w:r>
          </w:p>
          <w:p w:rsidR="007B2938" w:rsidRPr="007B2938" w:rsidRDefault="007B2938" w:rsidP="00133151">
            <w:pPr>
              <w:pStyle w:val="TextinTables"/>
              <w:jc w:val="center"/>
              <w:rPr>
                <w:b/>
              </w:rPr>
            </w:pPr>
            <w:r w:rsidRPr="007B2938">
              <w:rPr>
                <w:b/>
                <w:color w:val="000000"/>
              </w:rPr>
              <w:t>kat</w:t>
            </w:r>
          </w:p>
        </w:tc>
        <w:tc>
          <w:tcPr>
            <w:tcW w:w="804" w:type="dxa"/>
            <w:shd w:val="clear" w:color="auto" w:fill="D9D9D9" w:themeFill="background1" w:themeFillShade="D9"/>
            <w:vAlign w:val="center"/>
          </w:tcPr>
          <w:p w:rsidR="007B2938" w:rsidRPr="007B2938" w:rsidRDefault="007B2938" w:rsidP="00133151">
            <w:pPr>
              <w:pStyle w:val="TextinTables"/>
              <w:jc w:val="center"/>
              <w:rPr>
                <w:b/>
                <w:color w:val="000000"/>
              </w:rPr>
            </w:pPr>
            <w:r w:rsidRPr="007B2938">
              <w:rPr>
                <w:b/>
                <w:color w:val="000000"/>
              </w:rPr>
              <w:t>II</w:t>
            </w:r>
          </w:p>
          <w:p w:rsidR="007B2938" w:rsidRPr="007B2938" w:rsidRDefault="007B2938" w:rsidP="00133151">
            <w:pPr>
              <w:pStyle w:val="TextinTables"/>
              <w:jc w:val="center"/>
              <w:rPr>
                <w:b/>
              </w:rPr>
            </w:pPr>
            <w:r w:rsidRPr="007B2938">
              <w:rPr>
                <w:b/>
                <w:color w:val="000000"/>
              </w:rPr>
              <w:t>kat</w:t>
            </w:r>
          </w:p>
        </w:tc>
        <w:tc>
          <w:tcPr>
            <w:tcW w:w="804" w:type="dxa"/>
            <w:shd w:val="clear" w:color="auto" w:fill="D9D9D9" w:themeFill="background1" w:themeFillShade="D9"/>
            <w:vAlign w:val="center"/>
          </w:tcPr>
          <w:p w:rsidR="007B2938" w:rsidRPr="007B2938" w:rsidRDefault="007B2938" w:rsidP="00133151">
            <w:pPr>
              <w:pStyle w:val="TextinTables"/>
              <w:jc w:val="center"/>
              <w:rPr>
                <w:b/>
                <w:color w:val="000000"/>
              </w:rPr>
            </w:pPr>
            <w:r w:rsidRPr="007B2938">
              <w:rPr>
                <w:b/>
                <w:color w:val="000000"/>
              </w:rPr>
              <w:t>III</w:t>
            </w:r>
          </w:p>
          <w:p w:rsidR="007B2938" w:rsidRPr="007B2938" w:rsidRDefault="007B2938" w:rsidP="00133151">
            <w:pPr>
              <w:pStyle w:val="TextinTables"/>
              <w:jc w:val="center"/>
              <w:rPr>
                <w:b/>
              </w:rPr>
            </w:pPr>
            <w:r w:rsidRPr="007B2938">
              <w:rPr>
                <w:b/>
                <w:color w:val="000000"/>
              </w:rPr>
              <w:t>kat</w:t>
            </w:r>
          </w:p>
        </w:tc>
        <w:tc>
          <w:tcPr>
            <w:tcW w:w="1051" w:type="dxa"/>
            <w:vMerge/>
            <w:vAlign w:val="center"/>
          </w:tcPr>
          <w:p w:rsidR="007B2938" w:rsidRPr="004659C7" w:rsidRDefault="007B2938" w:rsidP="00133151">
            <w:pPr>
              <w:pStyle w:val="TextinTables"/>
            </w:pPr>
          </w:p>
        </w:tc>
        <w:tc>
          <w:tcPr>
            <w:tcW w:w="1127" w:type="dxa"/>
            <w:vMerge/>
            <w:vAlign w:val="center"/>
          </w:tcPr>
          <w:p w:rsidR="007B2938" w:rsidRPr="004659C7" w:rsidRDefault="007B2938" w:rsidP="00133151">
            <w:pPr>
              <w:pStyle w:val="TextinTables"/>
            </w:pPr>
          </w:p>
        </w:tc>
      </w:tr>
      <w:tr w:rsidR="007B2938" w:rsidRPr="004659C7" w:rsidTr="007B2938">
        <w:trPr>
          <w:trHeight w:val="578"/>
          <w:jc w:val="center"/>
        </w:trPr>
        <w:tc>
          <w:tcPr>
            <w:tcW w:w="1368" w:type="dxa"/>
            <w:vAlign w:val="center"/>
          </w:tcPr>
          <w:p w:rsidR="007B2938" w:rsidRPr="007B2938" w:rsidRDefault="007B2938" w:rsidP="00133151">
            <w:pPr>
              <w:pStyle w:val="TextinTables"/>
              <w:rPr>
                <w:sz w:val="18"/>
              </w:rPr>
            </w:pPr>
            <w:r w:rsidRPr="007B2938">
              <w:rPr>
                <w:sz w:val="18"/>
              </w:rPr>
              <w:t>189.100.000</w:t>
            </w:r>
          </w:p>
        </w:tc>
        <w:tc>
          <w:tcPr>
            <w:tcW w:w="1170" w:type="dxa"/>
            <w:vAlign w:val="center"/>
          </w:tcPr>
          <w:p w:rsidR="007B2938" w:rsidRPr="007B2938" w:rsidRDefault="007B2938" w:rsidP="00133151">
            <w:pPr>
              <w:pStyle w:val="TextinTables"/>
              <w:rPr>
                <w:sz w:val="18"/>
              </w:rPr>
            </w:pPr>
            <w:r w:rsidRPr="007B2938">
              <w:rPr>
                <w:sz w:val="18"/>
              </w:rPr>
              <w:t>10.538.990</w:t>
            </w:r>
          </w:p>
        </w:tc>
        <w:tc>
          <w:tcPr>
            <w:tcW w:w="990" w:type="dxa"/>
            <w:vAlign w:val="center"/>
          </w:tcPr>
          <w:p w:rsidR="007B2938" w:rsidRPr="007B2938" w:rsidRDefault="007B2938" w:rsidP="00133151">
            <w:pPr>
              <w:pStyle w:val="TextinTables"/>
              <w:rPr>
                <w:sz w:val="18"/>
              </w:rPr>
            </w:pPr>
            <w:r w:rsidRPr="007B2938">
              <w:rPr>
                <w:sz w:val="18"/>
              </w:rPr>
              <w:t>1.146.030</w:t>
            </w:r>
          </w:p>
        </w:tc>
        <w:tc>
          <w:tcPr>
            <w:tcW w:w="990" w:type="dxa"/>
            <w:vAlign w:val="center"/>
          </w:tcPr>
          <w:p w:rsidR="007B2938" w:rsidRPr="007B2938" w:rsidRDefault="007B2938" w:rsidP="00133151">
            <w:pPr>
              <w:pStyle w:val="TextinTables"/>
              <w:rPr>
                <w:color w:val="FFFFFF" w:themeColor="background1"/>
                <w:sz w:val="18"/>
              </w:rPr>
            </w:pPr>
            <w:r w:rsidRPr="007B2938">
              <w:rPr>
                <w:sz w:val="18"/>
              </w:rPr>
              <w:t>2.155.620</w:t>
            </w:r>
          </w:p>
        </w:tc>
        <w:tc>
          <w:tcPr>
            <w:tcW w:w="990" w:type="dxa"/>
            <w:vAlign w:val="center"/>
          </w:tcPr>
          <w:p w:rsidR="007B2938" w:rsidRPr="007B2938" w:rsidRDefault="007B2938" w:rsidP="00133151">
            <w:pPr>
              <w:pStyle w:val="TextinTables"/>
              <w:rPr>
                <w:sz w:val="18"/>
              </w:rPr>
            </w:pPr>
            <w:r w:rsidRPr="007B2938">
              <w:rPr>
                <w:sz w:val="18"/>
              </w:rPr>
              <w:t>7.237.340</w:t>
            </w:r>
          </w:p>
        </w:tc>
        <w:tc>
          <w:tcPr>
            <w:tcW w:w="804" w:type="dxa"/>
            <w:vAlign w:val="center"/>
          </w:tcPr>
          <w:p w:rsidR="007B2938" w:rsidRPr="007B2938" w:rsidRDefault="007B2938" w:rsidP="00133151">
            <w:pPr>
              <w:pStyle w:val="TextinTables"/>
              <w:rPr>
                <w:sz w:val="18"/>
              </w:rPr>
            </w:pPr>
            <w:r w:rsidRPr="007B2938">
              <w:rPr>
                <w:sz w:val="18"/>
              </w:rPr>
              <w:t>10,87%</w:t>
            </w:r>
          </w:p>
        </w:tc>
        <w:tc>
          <w:tcPr>
            <w:tcW w:w="804" w:type="dxa"/>
            <w:vAlign w:val="center"/>
          </w:tcPr>
          <w:p w:rsidR="007B2938" w:rsidRPr="007B2938" w:rsidRDefault="007B2938" w:rsidP="00133151">
            <w:pPr>
              <w:pStyle w:val="TextinTables"/>
              <w:rPr>
                <w:sz w:val="18"/>
              </w:rPr>
            </w:pPr>
            <w:r w:rsidRPr="007B2938">
              <w:rPr>
                <w:sz w:val="18"/>
              </w:rPr>
              <w:t>20,45%</w:t>
            </w:r>
          </w:p>
        </w:tc>
        <w:tc>
          <w:tcPr>
            <w:tcW w:w="804" w:type="dxa"/>
            <w:vAlign w:val="center"/>
          </w:tcPr>
          <w:p w:rsidR="007B2938" w:rsidRPr="007B2938" w:rsidRDefault="007B2938" w:rsidP="00133151">
            <w:pPr>
              <w:pStyle w:val="TextinTables"/>
              <w:rPr>
                <w:sz w:val="18"/>
              </w:rPr>
            </w:pPr>
            <w:r w:rsidRPr="007B2938">
              <w:rPr>
                <w:sz w:val="18"/>
              </w:rPr>
              <w:t>68,67%</w:t>
            </w:r>
          </w:p>
        </w:tc>
        <w:tc>
          <w:tcPr>
            <w:tcW w:w="1051" w:type="dxa"/>
            <w:vAlign w:val="center"/>
          </w:tcPr>
          <w:p w:rsidR="007B2938" w:rsidRPr="007B2938" w:rsidRDefault="007B2938" w:rsidP="00133151">
            <w:pPr>
              <w:pStyle w:val="TextinTables"/>
              <w:rPr>
                <w:sz w:val="18"/>
              </w:rPr>
            </w:pPr>
            <w:r w:rsidRPr="007B2938">
              <w:rPr>
                <w:sz w:val="18"/>
              </w:rPr>
              <w:t>0</w:t>
            </w:r>
          </w:p>
        </w:tc>
        <w:tc>
          <w:tcPr>
            <w:tcW w:w="1127" w:type="dxa"/>
            <w:vAlign w:val="center"/>
          </w:tcPr>
          <w:p w:rsidR="007B2938" w:rsidRPr="007B2938" w:rsidRDefault="007B2938" w:rsidP="00133151">
            <w:pPr>
              <w:pStyle w:val="TextinTables"/>
              <w:rPr>
                <w:sz w:val="18"/>
              </w:rPr>
            </w:pPr>
            <w:r w:rsidRPr="007B2938">
              <w:rPr>
                <w:sz w:val="18"/>
              </w:rPr>
              <w:t>0,00%</w:t>
            </w:r>
          </w:p>
        </w:tc>
      </w:tr>
    </w:tbl>
    <w:p w:rsidR="007B2938" w:rsidRDefault="00BC7C4C" w:rsidP="00092E44">
      <w:pPr>
        <w:pStyle w:val="Izvorpodataka"/>
      </w:pPr>
      <w:r w:rsidRPr="007B2938">
        <w:t>Izvor:</w:t>
      </w:r>
      <w:r w:rsidR="00C92132" w:rsidRPr="007B2938">
        <w:t xml:space="preserve"> BiH MAC Minska situacija na području TK 1.11.2016.godine</w:t>
      </w:r>
    </w:p>
    <w:p w:rsidR="00D03866" w:rsidRPr="00D24BE9" w:rsidRDefault="00D03866" w:rsidP="008B76AE">
      <w:pPr>
        <w:pStyle w:val="Heading5"/>
        <w:rPr>
          <w:rFonts w:eastAsia="TimesNewRomanPSMT"/>
          <w:lang w:val="hr-HR" w:eastAsia="hi-IN" w:bidi="hi-IN"/>
        </w:rPr>
      </w:pPr>
      <w:r w:rsidRPr="00D24BE9">
        <w:rPr>
          <w:rFonts w:eastAsia="TimesNewRomanPSMT"/>
          <w:lang w:val="hr-HR" w:eastAsia="hi-IN" w:bidi="hi-IN"/>
        </w:rPr>
        <w:t>Štabovi civilne zaštite</w:t>
      </w:r>
    </w:p>
    <w:p w:rsidR="00D03866" w:rsidRPr="0094519D" w:rsidRDefault="00D03866" w:rsidP="008A2A6D">
      <w:pPr>
        <w:rPr>
          <w:lang w:val="hr-HR" w:eastAsia="hi-IN" w:bidi="hi-IN"/>
        </w:rPr>
      </w:pPr>
      <w:r w:rsidRPr="0094519D">
        <w:rPr>
          <w:lang w:val="hr-HR" w:eastAsia="hi-IN" w:bidi="hi-IN"/>
        </w:rPr>
        <w:t>Rukovođenje akcijama zaštite i spašavanja na teritoriji općine Kalesija</w:t>
      </w:r>
      <w:r w:rsidR="006872DD">
        <w:rPr>
          <w:lang w:val="hr-HR" w:eastAsia="hi-IN" w:bidi="hi-IN"/>
        </w:rPr>
        <w:t>,</w:t>
      </w:r>
      <w:r w:rsidRPr="0094519D">
        <w:rPr>
          <w:lang w:val="hr-HR" w:eastAsia="hi-IN" w:bidi="hi-IN"/>
        </w:rPr>
        <w:t xml:space="preserve"> te obavljanje drugih poslova u zaštiti i spašavanju ljudi i materijalnih dobara od prirodnih i drugih nesreća većih razmjera</w:t>
      </w:r>
      <w:r w:rsidR="006872DD">
        <w:rPr>
          <w:lang w:val="hr-HR" w:eastAsia="hi-IN" w:bidi="hi-IN"/>
        </w:rPr>
        <w:t>,</w:t>
      </w:r>
      <w:r w:rsidRPr="0094519D">
        <w:rPr>
          <w:lang w:val="hr-HR" w:eastAsia="hi-IN" w:bidi="hi-IN"/>
        </w:rPr>
        <w:t xml:space="preserve"> </w:t>
      </w:r>
      <w:r w:rsidR="006872DD">
        <w:rPr>
          <w:lang w:val="hr-HR" w:eastAsia="hi-IN" w:bidi="hi-IN"/>
        </w:rPr>
        <w:t>vrši</w:t>
      </w:r>
      <w:r w:rsidRPr="0094519D">
        <w:rPr>
          <w:lang w:val="hr-HR" w:eastAsia="hi-IN" w:bidi="hi-IN"/>
        </w:rPr>
        <w:t xml:space="preserve"> Općinski štab Civilne zaštite općine Kalesija i štabovi Civilne zaštite u mjesnim područjima</w:t>
      </w:r>
      <w:r w:rsidR="006872DD">
        <w:rPr>
          <w:lang w:val="hr-HR" w:eastAsia="hi-IN" w:bidi="hi-IN"/>
        </w:rPr>
        <w:t>, koji su osnovani za sljedeća područja</w:t>
      </w:r>
      <w:r w:rsidRPr="0094519D">
        <w:rPr>
          <w:lang w:val="hr-HR" w:eastAsia="hi-IN" w:bidi="hi-IN"/>
        </w:rPr>
        <w:t>:</w:t>
      </w:r>
    </w:p>
    <w:p w:rsidR="00D03866" w:rsidRPr="00D24BE9" w:rsidRDefault="006872DD" w:rsidP="008A2A6D">
      <w:pPr>
        <w:pStyle w:val="ListParagraph"/>
        <w:numPr>
          <w:ilvl w:val="0"/>
          <w:numId w:val="13"/>
        </w:numPr>
        <w:rPr>
          <w:rFonts w:eastAsia="TimesNewRomanPSMT"/>
          <w:lang w:eastAsia="hi-IN" w:bidi="hi-IN"/>
        </w:rPr>
      </w:pPr>
      <w:r w:rsidRPr="00D24BE9">
        <w:rPr>
          <w:rFonts w:eastAsia="TimesNewRomanPSMT"/>
          <w:lang w:eastAsia="hi-IN" w:bidi="hi-IN"/>
        </w:rPr>
        <w:t>Štab civilne zaštite Tojšići</w:t>
      </w:r>
      <w:r>
        <w:rPr>
          <w:rFonts w:eastAsia="TimesNewRomanPSMT"/>
          <w:lang w:eastAsia="hi-IN" w:bidi="hi-IN"/>
        </w:rPr>
        <w:t>:</w:t>
      </w:r>
      <w:r w:rsidRPr="00D24BE9">
        <w:rPr>
          <w:rFonts w:eastAsia="TimesNewRomanPSMT"/>
          <w:lang w:eastAsia="hi-IN" w:bidi="hi-IN"/>
        </w:rPr>
        <w:t xml:space="preserve"> </w:t>
      </w:r>
      <w:r w:rsidR="00D03866" w:rsidRPr="00D24BE9">
        <w:rPr>
          <w:rFonts w:eastAsia="TimesNewRomanPSMT"/>
          <w:lang w:eastAsia="hi-IN" w:bidi="hi-IN"/>
        </w:rPr>
        <w:t>za područje mjesnih zajednica</w:t>
      </w:r>
      <w:r>
        <w:rPr>
          <w:rFonts w:eastAsia="TimesNewRomanPSMT"/>
          <w:lang w:eastAsia="hi-IN" w:bidi="hi-IN"/>
        </w:rPr>
        <w:t xml:space="preserve"> </w:t>
      </w:r>
      <w:r w:rsidR="00D03866" w:rsidRPr="00D24BE9">
        <w:rPr>
          <w:rFonts w:eastAsia="TimesNewRomanPSMT"/>
          <w:lang w:eastAsia="hi-IN" w:bidi="hi-IN"/>
        </w:rPr>
        <w:t>Tojšići, Kikači, Hrasno, Seljubl</w:t>
      </w:r>
      <w:r w:rsidR="00D03866" w:rsidRPr="00D24BE9">
        <w:rPr>
          <w:lang w:eastAsia="hi-IN" w:bidi="hi-IN"/>
        </w:rPr>
        <w:t xml:space="preserve">je, Vukovije D., Vukovije G. i </w:t>
      </w:r>
      <w:r w:rsidR="00D03866" w:rsidRPr="00D24BE9">
        <w:rPr>
          <w:rFonts w:eastAsia="TimesNewRomanPSMT"/>
          <w:lang w:eastAsia="hi-IN" w:bidi="hi-IN"/>
        </w:rPr>
        <w:t>Jeginov Lug;</w:t>
      </w:r>
    </w:p>
    <w:p w:rsidR="00D03866" w:rsidRPr="00D24BE9" w:rsidRDefault="006872DD" w:rsidP="008A2A6D">
      <w:pPr>
        <w:pStyle w:val="ListParagraph"/>
        <w:numPr>
          <w:ilvl w:val="0"/>
          <w:numId w:val="13"/>
        </w:numPr>
        <w:rPr>
          <w:rFonts w:eastAsia="TimesNewRomanPSMT"/>
          <w:lang w:eastAsia="hi-IN" w:bidi="hi-IN"/>
        </w:rPr>
      </w:pPr>
      <w:r w:rsidRPr="00D24BE9">
        <w:rPr>
          <w:rFonts w:eastAsia="TimesNewRomanPSMT"/>
          <w:lang w:eastAsia="hi-IN" w:bidi="hi-IN"/>
        </w:rPr>
        <w:t>Štab civilne zaštite Rainci Gornji</w:t>
      </w:r>
      <w:r>
        <w:rPr>
          <w:rFonts w:eastAsia="TimesNewRomanPSMT"/>
          <w:lang w:eastAsia="hi-IN" w:bidi="hi-IN"/>
        </w:rPr>
        <w:t>:</w:t>
      </w:r>
      <w:r w:rsidRPr="00D24BE9">
        <w:rPr>
          <w:rFonts w:eastAsia="TimesNewRomanPSMT"/>
          <w:lang w:eastAsia="hi-IN" w:bidi="hi-IN"/>
        </w:rPr>
        <w:t xml:space="preserve"> </w:t>
      </w:r>
      <w:r w:rsidR="00D03866" w:rsidRPr="00D24BE9">
        <w:rPr>
          <w:rFonts w:eastAsia="TimesNewRomanPSMT"/>
          <w:lang w:eastAsia="hi-IN" w:bidi="hi-IN"/>
        </w:rPr>
        <w:t xml:space="preserve">za područje mjesnih zajednica Zates, Rainci Donji, Rainci Gornji i Miljanovci; </w:t>
      </w:r>
    </w:p>
    <w:p w:rsidR="00D03866" w:rsidRPr="00D24BE9" w:rsidRDefault="006872DD" w:rsidP="008A2A6D">
      <w:pPr>
        <w:pStyle w:val="ListParagraph"/>
        <w:numPr>
          <w:ilvl w:val="0"/>
          <w:numId w:val="13"/>
        </w:numPr>
        <w:rPr>
          <w:rFonts w:eastAsia="TimesNewRomanPSMT"/>
          <w:lang w:eastAsia="hi-IN" w:bidi="hi-IN"/>
        </w:rPr>
      </w:pPr>
      <w:r w:rsidRPr="00D24BE9">
        <w:rPr>
          <w:rFonts w:eastAsia="TimesNewRomanPSMT"/>
          <w:lang w:eastAsia="hi-IN" w:bidi="hi-IN"/>
        </w:rPr>
        <w:t>Štab civilne zaštite Kalesija</w:t>
      </w:r>
      <w:r>
        <w:rPr>
          <w:rFonts w:eastAsia="TimesNewRomanPSMT"/>
          <w:lang w:eastAsia="hi-IN" w:bidi="hi-IN"/>
        </w:rPr>
        <w:t>: z</w:t>
      </w:r>
      <w:r w:rsidR="00D03866" w:rsidRPr="00D24BE9">
        <w:rPr>
          <w:rFonts w:eastAsia="TimesNewRomanPSMT"/>
          <w:lang w:eastAsia="hi-IN" w:bidi="hi-IN"/>
        </w:rPr>
        <w:t>a područje mjesnih zajednica Dubnica, Prnjavor, Zelina, Gojčin, Kalesija Gornja, i Kalesija Centar;</w:t>
      </w:r>
    </w:p>
    <w:p w:rsidR="00D03866" w:rsidRPr="00D24BE9" w:rsidRDefault="006872DD" w:rsidP="008A2A6D">
      <w:pPr>
        <w:pStyle w:val="ListParagraph"/>
        <w:numPr>
          <w:ilvl w:val="0"/>
          <w:numId w:val="13"/>
        </w:numPr>
        <w:rPr>
          <w:rFonts w:eastAsia="TimesNewRomanPSMT"/>
          <w:lang w:eastAsia="hi-IN" w:bidi="hi-IN"/>
        </w:rPr>
      </w:pPr>
      <w:r w:rsidRPr="00D24BE9">
        <w:rPr>
          <w:lang w:eastAsia="hi-IN" w:bidi="hi-IN"/>
        </w:rPr>
        <w:t xml:space="preserve">Štab </w:t>
      </w:r>
      <w:r w:rsidRPr="00D24BE9">
        <w:rPr>
          <w:rFonts w:eastAsia="TimesNewRomanPSMT"/>
          <w:lang w:eastAsia="hi-IN" w:bidi="hi-IN"/>
        </w:rPr>
        <w:t>civilne zaštite Memići</w:t>
      </w:r>
      <w:r>
        <w:rPr>
          <w:rFonts w:eastAsia="TimesNewRomanPSMT"/>
          <w:lang w:eastAsia="hi-IN" w:bidi="hi-IN"/>
        </w:rPr>
        <w:t>:</w:t>
      </w:r>
      <w:r w:rsidRPr="00D24BE9">
        <w:rPr>
          <w:rFonts w:eastAsia="TimesNewRomanPSMT"/>
          <w:lang w:eastAsia="hi-IN" w:bidi="hi-IN"/>
        </w:rPr>
        <w:t xml:space="preserve"> </w:t>
      </w:r>
      <w:r w:rsidR="00D03866" w:rsidRPr="00D24BE9">
        <w:rPr>
          <w:rFonts w:eastAsia="TimesNewRomanPSMT"/>
          <w:lang w:eastAsia="hi-IN" w:bidi="hi-IN"/>
        </w:rPr>
        <w:t>za područje mjesnih zajednica Bulatovci, Jajići, Brda i Memi</w:t>
      </w:r>
      <w:r w:rsidR="00D03866" w:rsidRPr="00D24BE9">
        <w:rPr>
          <w:lang w:eastAsia="hi-IN" w:bidi="hi-IN"/>
        </w:rPr>
        <w:t>ći</w:t>
      </w:r>
      <w:r w:rsidR="00D03866" w:rsidRPr="00D24BE9">
        <w:rPr>
          <w:rFonts w:eastAsia="TimesNewRomanPSMT"/>
          <w:lang w:eastAsia="hi-IN" w:bidi="hi-IN"/>
        </w:rPr>
        <w:t xml:space="preserve">. </w:t>
      </w:r>
    </w:p>
    <w:p w:rsidR="00D03866" w:rsidRPr="00D24BE9" w:rsidRDefault="00D03866" w:rsidP="008B76AE">
      <w:pPr>
        <w:pStyle w:val="Heading5"/>
        <w:rPr>
          <w:rFonts w:eastAsia="TimesNewRomanPSMT"/>
          <w:lang w:val="hr-HR" w:eastAsia="hi-IN" w:bidi="hi-IN"/>
        </w:rPr>
      </w:pPr>
      <w:r w:rsidRPr="00D24BE9">
        <w:rPr>
          <w:rFonts w:eastAsia="TimesNewRomanPSMT"/>
          <w:lang w:val="hr-HR" w:eastAsia="hi-IN" w:bidi="hi-IN"/>
        </w:rPr>
        <w:t>Jedinice civilne zaštite</w:t>
      </w:r>
    </w:p>
    <w:p w:rsidR="00D03866" w:rsidRPr="0094519D" w:rsidRDefault="00D03866" w:rsidP="008A2A6D">
      <w:pPr>
        <w:rPr>
          <w:lang w:val="hr-HR" w:eastAsia="hi-IN" w:bidi="hi-IN"/>
        </w:rPr>
      </w:pPr>
      <w:r w:rsidRPr="0094519D">
        <w:rPr>
          <w:lang w:val="hr-HR" w:eastAsia="hi-IN" w:bidi="hi-IN"/>
        </w:rPr>
        <w:t xml:space="preserve">Jedinice Civilne zaštite na području Općine se formiraju kao jedinice opće i specijalizovane namjene. </w:t>
      </w:r>
    </w:p>
    <w:p w:rsidR="00D03866" w:rsidRPr="00D24BE9" w:rsidRDefault="00D03866" w:rsidP="008A2A6D">
      <w:pPr>
        <w:rPr>
          <w:lang w:val="hr-HR" w:eastAsia="hi-IN" w:bidi="hi-IN"/>
        </w:rPr>
      </w:pPr>
      <w:r w:rsidRPr="0094519D">
        <w:rPr>
          <w:b/>
          <w:bCs/>
          <w:i/>
          <w:iCs/>
          <w:lang w:val="hr-HR" w:eastAsia="hi-IN" w:bidi="hi-IN"/>
        </w:rPr>
        <w:t>Jedinice opće namjene</w:t>
      </w:r>
      <w:r w:rsidRPr="0094519D">
        <w:rPr>
          <w:lang w:val="hr-HR" w:eastAsia="hi-IN" w:bidi="hi-IN"/>
        </w:rPr>
        <w:t xml:space="preserve"> kao timovi i odjeljenja formiraju se u stambenim zgradama, naselju ili dijelu naselja u skladu sa vlastitim  potrebama, a za mjesno područje se može formirati jedinica jačine voda. Jedinice opće namjene jačine voda se formira pri Općinskom štabu civilne zaštite za potrebe Općine. Jedinice u Općini formira Općinski načelnik na prijedlog Općinske službe civilne zaštite.</w:t>
      </w:r>
      <w:r w:rsidR="006872DD" w:rsidRPr="006872DD">
        <w:rPr>
          <w:lang w:val="hr-HR" w:eastAsia="hi-IN" w:bidi="hi-IN"/>
        </w:rPr>
        <w:t xml:space="preserve"> </w:t>
      </w:r>
      <w:r w:rsidR="006872DD" w:rsidRPr="00BF02B9">
        <w:rPr>
          <w:lang w:val="hr-HR" w:eastAsia="hi-IN" w:bidi="hi-IN"/>
        </w:rPr>
        <w:t xml:space="preserve">Prema </w:t>
      </w:r>
      <w:r w:rsidR="006872DD">
        <w:rPr>
          <w:lang w:val="hr-HR" w:eastAsia="hi-IN" w:bidi="hi-IN"/>
        </w:rPr>
        <w:t>P</w:t>
      </w:r>
      <w:r w:rsidR="006872DD" w:rsidRPr="00BF02B9">
        <w:rPr>
          <w:lang w:val="hr-HR" w:eastAsia="hi-IN" w:bidi="hi-IN"/>
        </w:rPr>
        <w:t>lanu zaštite i spašavanja ljudi i materijalnih dobara</w:t>
      </w:r>
      <w:r w:rsidR="006872DD">
        <w:rPr>
          <w:lang w:val="hr-HR" w:eastAsia="hi-IN" w:bidi="hi-IN"/>
        </w:rPr>
        <w:t xml:space="preserve"> opštine Kalesija, formirane su jedinice opć</w:t>
      </w:r>
      <w:r w:rsidR="006872DD" w:rsidRPr="00BF02B9">
        <w:rPr>
          <w:lang w:val="hr-HR" w:eastAsia="hi-IN" w:bidi="hi-IN"/>
        </w:rPr>
        <w:t>e namjene</w:t>
      </w:r>
      <w:r w:rsidR="006872DD">
        <w:rPr>
          <w:lang w:val="hr-HR" w:eastAsia="hi-IN" w:bidi="hi-IN"/>
        </w:rPr>
        <w:t xml:space="preserve"> –</w:t>
      </w:r>
      <w:r w:rsidR="006872DD" w:rsidRPr="00BF02B9">
        <w:rPr>
          <w:lang w:val="hr-HR" w:eastAsia="hi-IN" w:bidi="hi-IN"/>
        </w:rPr>
        <w:t xml:space="preserve"> 21</w:t>
      </w:r>
      <w:r w:rsidR="006872DD">
        <w:rPr>
          <w:lang w:val="hr-HR" w:eastAsia="hi-IN" w:bidi="hi-IN"/>
        </w:rPr>
        <w:t xml:space="preserve"> </w:t>
      </w:r>
      <w:r w:rsidR="006872DD" w:rsidRPr="00BF02B9">
        <w:rPr>
          <w:lang w:val="hr-HR" w:eastAsia="hi-IN" w:bidi="hi-IN"/>
        </w:rPr>
        <w:t>jedinica snage odjeljenja ili voda sa ukupno 315 pripadnika</w:t>
      </w:r>
      <w:r w:rsidR="006872DD">
        <w:rPr>
          <w:lang w:val="hr-HR" w:eastAsia="hi-IN" w:bidi="hi-IN"/>
        </w:rPr>
        <w:t>.</w:t>
      </w:r>
    </w:p>
    <w:p w:rsidR="00D03866" w:rsidRPr="0094519D" w:rsidRDefault="00D03866" w:rsidP="008A2A6D">
      <w:pPr>
        <w:rPr>
          <w:lang w:val="hr-HR" w:eastAsia="hi-IN" w:bidi="hi-IN"/>
        </w:rPr>
      </w:pPr>
      <w:r w:rsidRPr="00D03866">
        <w:rPr>
          <w:b/>
          <w:lang w:val="hr-HR" w:eastAsia="hi-IN" w:bidi="hi-IN"/>
        </w:rPr>
        <w:t>Specijalizovane jedinice</w:t>
      </w:r>
      <w:r w:rsidRPr="0094519D">
        <w:rPr>
          <w:lang w:val="hr-HR" w:eastAsia="hi-IN" w:bidi="hi-IN"/>
        </w:rPr>
        <w:t xml:space="preserve"> </w:t>
      </w:r>
      <w:r w:rsidR="006872DD">
        <w:rPr>
          <w:lang w:val="hr-HR" w:eastAsia="hi-IN" w:bidi="hi-IN"/>
        </w:rPr>
        <w:t>O</w:t>
      </w:r>
      <w:r w:rsidR="006872DD" w:rsidRPr="0094519D">
        <w:rPr>
          <w:lang w:val="hr-HR" w:eastAsia="hi-IN" w:bidi="hi-IN"/>
        </w:rPr>
        <w:t>pćinski načelnik, na prijedlog Općinske službe civilne zaštite, organizuje specijalizovane jedinice civilne zaštite Općine koje obavljaju složenije poslove zaštite i spašavanja na cijelom području Općine kada snage i sredstva pravnih lica i službe zaštite i spašavanja, te jedinice civilne zaštite opće namjene nisu dovoljne za ostvarivanje efikasne zaštite i spašavanja na području Općine.</w:t>
      </w:r>
      <w:r w:rsidR="006872DD">
        <w:rPr>
          <w:lang w:val="hr-HR" w:eastAsia="hi-IN" w:bidi="hi-IN"/>
        </w:rPr>
        <w:t xml:space="preserve"> Specijalizovane jedinice </w:t>
      </w:r>
      <w:r w:rsidRPr="0094519D">
        <w:rPr>
          <w:lang w:val="hr-HR" w:eastAsia="hi-IN" w:bidi="hi-IN"/>
        </w:rPr>
        <w:t>formira</w:t>
      </w:r>
      <w:r w:rsidR="00950383">
        <w:rPr>
          <w:lang w:val="hr-HR" w:eastAsia="hi-IN" w:bidi="hi-IN"/>
        </w:rPr>
        <w:t>ne su sa sljedećim brojem pripadnika</w:t>
      </w:r>
      <w:r w:rsidRPr="0094519D">
        <w:rPr>
          <w:lang w:val="hr-HR" w:eastAsia="hi-IN" w:bidi="hi-IN"/>
        </w:rPr>
        <w:t>:</w:t>
      </w:r>
    </w:p>
    <w:p w:rsidR="00950383" w:rsidRPr="006872DD" w:rsidRDefault="006872DD" w:rsidP="008A2A6D">
      <w:pPr>
        <w:pStyle w:val="ListParagraph"/>
        <w:numPr>
          <w:ilvl w:val="0"/>
          <w:numId w:val="18"/>
        </w:numPr>
        <w:rPr>
          <w:lang w:val="hr-HR" w:eastAsia="hi-IN" w:bidi="hi-IN"/>
        </w:rPr>
      </w:pPr>
      <w:r w:rsidRPr="006872DD">
        <w:rPr>
          <w:lang w:val="hr-HR" w:eastAsia="hi-IN" w:bidi="hi-IN"/>
        </w:rPr>
        <w:t xml:space="preserve">za </w:t>
      </w:r>
      <w:r w:rsidR="00950383" w:rsidRPr="006872DD">
        <w:rPr>
          <w:lang w:val="hr-HR" w:eastAsia="hi-IN" w:bidi="hi-IN"/>
        </w:rPr>
        <w:t>zaštitu od požara jačine od</w:t>
      </w:r>
      <w:r w:rsidRPr="006872DD">
        <w:rPr>
          <w:lang w:val="hr-HR" w:eastAsia="hi-IN" w:bidi="hi-IN"/>
        </w:rPr>
        <w:t>j</w:t>
      </w:r>
      <w:r w:rsidR="00950383" w:rsidRPr="006872DD">
        <w:rPr>
          <w:lang w:val="hr-HR" w:eastAsia="hi-IN" w:bidi="hi-IN"/>
        </w:rPr>
        <w:t>el</w:t>
      </w:r>
      <w:r w:rsidRPr="006872DD">
        <w:rPr>
          <w:lang w:val="hr-HR" w:eastAsia="hi-IN" w:bidi="hi-IN"/>
        </w:rPr>
        <w:t>j</w:t>
      </w:r>
      <w:r w:rsidR="00950383" w:rsidRPr="006872DD">
        <w:rPr>
          <w:lang w:val="hr-HR" w:eastAsia="hi-IN" w:bidi="hi-IN"/>
        </w:rPr>
        <w:t>enja: 17 pripadnika,</w:t>
      </w:r>
    </w:p>
    <w:p w:rsidR="00950383" w:rsidRPr="006872DD" w:rsidRDefault="006872DD" w:rsidP="008A2A6D">
      <w:pPr>
        <w:pStyle w:val="ListParagraph"/>
        <w:numPr>
          <w:ilvl w:val="0"/>
          <w:numId w:val="18"/>
        </w:numPr>
        <w:rPr>
          <w:lang w:val="hr-HR" w:eastAsia="hi-IN" w:bidi="hi-IN"/>
        </w:rPr>
      </w:pPr>
      <w:r w:rsidRPr="006872DD">
        <w:rPr>
          <w:lang w:val="hr-HR" w:eastAsia="hi-IN" w:bidi="hi-IN"/>
        </w:rPr>
        <w:t xml:space="preserve">za </w:t>
      </w:r>
      <w:r w:rsidR="00950383" w:rsidRPr="006872DD">
        <w:rPr>
          <w:lang w:val="hr-HR" w:eastAsia="hi-IN" w:bidi="hi-IN"/>
        </w:rPr>
        <w:t>zaštitu od NUS-a – jačine odjeljenja: 18 pripadnika,</w:t>
      </w:r>
    </w:p>
    <w:p w:rsidR="00950383" w:rsidRPr="006872DD" w:rsidRDefault="00950383" w:rsidP="008A2A6D">
      <w:pPr>
        <w:pStyle w:val="ListParagraph"/>
        <w:numPr>
          <w:ilvl w:val="0"/>
          <w:numId w:val="18"/>
        </w:numPr>
        <w:rPr>
          <w:lang w:val="hr-HR" w:eastAsia="hi-IN" w:bidi="hi-IN"/>
        </w:rPr>
      </w:pPr>
      <w:r w:rsidRPr="006872DD">
        <w:rPr>
          <w:lang w:val="hr-HR" w:eastAsia="hi-IN" w:bidi="hi-IN"/>
        </w:rPr>
        <w:t xml:space="preserve">za RHB zaštitu – jačine </w:t>
      </w:r>
      <w:r w:rsidR="006872DD" w:rsidRPr="006872DD">
        <w:rPr>
          <w:lang w:val="hr-HR" w:eastAsia="hi-IN" w:bidi="hi-IN"/>
        </w:rPr>
        <w:t>odjeljenja</w:t>
      </w:r>
      <w:r w:rsidRPr="006872DD">
        <w:rPr>
          <w:lang w:val="hr-HR" w:eastAsia="hi-IN" w:bidi="hi-IN"/>
        </w:rPr>
        <w:t>: 13 pripadnika,</w:t>
      </w:r>
    </w:p>
    <w:p w:rsidR="00950383" w:rsidRPr="006872DD" w:rsidRDefault="00950383" w:rsidP="008A2A6D">
      <w:pPr>
        <w:pStyle w:val="ListParagraph"/>
        <w:numPr>
          <w:ilvl w:val="0"/>
          <w:numId w:val="18"/>
        </w:numPr>
        <w:rPr>
          <w:lang w:val="hr-HR" w:eastAsia="hi-IN" w:bidi="hi-IN"/>
        </w:rPr>
      </w:pPr>
      <w:r w:rsidRPr="006872DD">
        <w:rPr>
          <w:lang w:val="hr-HR" w:eastAsia="hi-IN" w:bidi="hi-IN"/>
        </w:rPr>
        <w:t>za zaštitu bilja i biljnih proizvoda: 14 pripadnika,</w:t>
      </w:r>
    </w:p>
    <w:p w:rsidR="00950383" w:rsidRPr="006872DD" w:rsidRDefault="00950383" w:rsidP="008A2A6D">
      <w:pPr>
        <w:pStyle w:val="ListParagraph"/>
        <w:numPr>
          <w:ilvl w:val="0"/>
          <w:numId w:val="18"/>
        </w:numPr>
        <w:rPr>
          <w:lang w:val="hr-HR" w:eastAsia="hi-IN" w:bidi="hi-IN"/>
        </w:rPr>
      </w:pPr>
      <w:r w:rsidRPr="006872DD">
        <w:rPr>
          <w:lang w:val="hr-HR" w:eastAsia="hi-IN" w:bidi="hi-IN"/>
        </w:rPr>
        <w:t>jedinica za spašavanje iz ruševina: 28 pripadnika,</w:t>
      </w:r>
    </w:p>
    <w:p w:rsidR="00D03866" w:rsidRPr="006872DD" w:rsidRDefault="00950383" w:rsidP="008A2A6D">
      <w:pPr>
        <w:pStyle w:val="ListParagraph"/>
        <w:numPr>
          <w:ilvl w:val="0"/>
          <w:numId w:val="18"/>
        </w:numPr>
        <w:rPr>
          <w:lang w:val="hr-HR" w:eastAsia="hi-IN" w:bidi="hi-IN"/>
        </w:rPr>
      </w:pPr>
      <w:r w:rsidRPr="006872DD">
        <w:rPr>
          <w:lang w:val="hr-HR" w:eastAsia="hi-IN" w:bidi="hi-IN"/>
        </w:rPr>
        <w:t>mješovita specijalizovana jedinica za hitne intervencije: 63 pripadnika.</w:t>
      </w:r>
    </w:p>
    <w:p w:rsidR="00D03866" w:rsidRPr="00575766" w:rsidRDefault="00D03866" w:rsidP="008B76AE">
      <w:pPr>
        <w:pStyle w:val="Heading5"/>
        <w:rPr>
          <w:rFonts w:eastAsia="TimesNewRomanPSMT"/>
          <w:lang w:val="hr-HR" w:eastAsia="hi-IN" w:bidi="hi-IN"/>
        </w:rPr>
      </w:pPr>
      <w:r w:rsidRPr="00575766">
        <w:rPr>
          <w:rFonts w:eastAsia="TimesNewRomanPSMT"/>
          <w:lang w:val="hr-HR" w:eastAsia="hi-IN" w:bidi="hi-IN"/>
        </w:rPr>
        <w:lastRenderedPageBreak/>
        <w:t>Službe zaštite i spašavanja</w:t>
      </w:r>
    </w:p>
    <w:p w:rsidR="00D03866" w:rsidRPr="0094519D" w:rsidRDefault="00D03866" w:rsidP="003663CA">
      <w:pPr>
        <w:rPr>
          <w:lang w:val="hr-HR" w:eastAsia="hi-IN" w:bidi="hi-IN"/>
        </w:rPr>
      </w:pPr>
      <w:r w:rsidRPr="0094519D">
        <w:rPr>
          <w:lang w:val="hr-HR" w:eastAsia="hi-IN" w:bidi="hi-IN"/>
        </w:rPr>
        <w:t xml:space="preserve">Općinski načelnik </w:t>
      </w:r>
      <w:r w:rsidR="006872DD" w:rsidRPr="0094519D">
        <w:rPr>
          <w:lang w:val="hr-HR" w:eastAsia="hi-IN" w:bidi="hi-IN"/>
        </w:rPr>
        <w:t xml:space="preserve">je </w:t>
      </w:r>
      <w:r w:rsidRPr="0094519D">
        <w:rPr>
          <w:lang w:val="hr-HR" w:eastAsia="hi-IN" w:bidi="hi-IN"/>
        </w:rPr>
        <w:t>na prijedlog općinske Službe civilne zaštite odredio pravna lica i javne ustanove kod kojih su formirane Službe zaštite i spašavanja</w:t>
      </w:r>
      <w:r w:rsidR="006872DD">
        <w:rPr>
          <w:lang w:val="hr-HR" w:eastAsia="hi-IN" w:bidi="hi-IN"/>
        </w:rPr>
        <w:t>,</w:t>
      </w:r>
      <w:r w:rsidRPr="0094519D">
        <w:rPr>
          <w:lang w:val="hr-HR" w:eastAsia="hi-IN" w:bidi="hi-IN"/>
        </w:rPr>
        <w:t xml:space="preserve"> koje će djelovati na području</w:t>
      </w:r>
      <w:r>
        <w:rPr>
          <w:lang w:val="hr-HR" w:eastAsia="hi-IN" w:bidi="hi-IN"/>
        </w:rPr>
        <w:t xml:space="preserve"> </w:t>
      </w:r>
      <w:r w:rsidRPr="0094519D">
        <w:rPr>
          <w:lang w:val="hr-HR" w:eastAsia="hi-IN" w:bidi="hi-IN"/>
        </w:rPr>
        <w:t>Općine:</w:t>
      </w:r>
      <w:r w:rsidR="006872DD">
        <w:rPr>
          <w:lang w:val="hr-HR" w:eastAsia="hi-IN" w:bidi="hi-IN"/>
        </w:rPr>
        <w:t xml:space="preserve"> </w:t>
      </w:r>
    </w:p>
    <w:p w:rsidR="00D03866" w:rsidRPr="00575766" w:rsidRDefault="00D03866" w:rsidP="008A2A6D">
      <w:pPr>
        <w:pStyle w:val="ListParagraph"/>
        <w:numPr>
          <w:ilvl w:val="0"/>
          <w:numId w:val="14"/>
        </w:numPr>
        <w:rPr>
          <w:rFonts w:eastAsia="TimesNewRomanPSMT"/>
          <w:lang w:eastAsia="hi-IN" w:bidi="hi-IN"/>
        </w:rPr>
      </w:pPr>
      <w:r w:rsidRPr="00575766">
        <w:rPr>
          <w:rFonts w:eastAsia="TimesNewRomanPSMT"/>
          <w:lang w:eastAsia="hi-IN" w:bidi="hi-IN"/>
        </w:rPr>
        <w:t>Služba medicinske pomoći u JZU Dom zdravlja Kalesija;</w:t>
      </w:r>
    </w:p>
    <w:p w:rsidR="00D03866" w:rsidRPr="00575766" w:rsidRDefault="00D03866" w:rsidP="008A2A6D">
      <w:pPr>
        <w:pStyle w:val="ListParagraph"/>
        <w:numPr>
          <w:ilvl w:val="0"/>
          <w:numId w:val="14"/>
        </w:numPr>
        <w:rPr>
          <w:rFonts w:eastAsia="TimesNewRomanPSMT"/>
          <w:lang w:eastAsia="hi-IN" w:bidi="hi-IN"/>
        </w:rPr>
      </w:pPr>
      <w:r w:rsidRPr="00575766">
        <w:rPr>
          <w:rFonts w:eastAsia="TimesNewRomanPSMT"/>
          <w:lang w:eastAsia="hi-IN" w:bidi="hi-IN"/>
        </w:rPr>
        <w:t xml:space="preserve">Služba za zaštitu i spašavanje životinja i namirnica životinjskog porijekla u JU Veterinarska </w:t>
      </w:r>
    </w:p>
    <w:p w:rsidR="00D03866" w:rsidRPr="00575766" w:rsidRDefault="00D03866" w:rsidP="008A2A6D">
      <w:pPr>
        <w:pStyle w:val="ListParagraph"/>
        <w:numPr>
          <w:ilvl w:val="0"/>
          <w:numId w:val="14"/>
        </w:numPr>
        <w:rPr>
          <w:rFonts w:eastAsia="TimesNewRomanPSMT"/>
          <w:lang w:eastAsia="hi-IN" w:bidi="hi-IN"/>
        </w:rPr>
      </w:pPr>
      <w:r w:rsidRPr="00575766">
        <w:rPr>
          <w:rFonts w:eastAsia="TimesNewRomanPSMT"/>
          <w:lang w:eastAsia="hi-IN" w:bidi="hi-IN"/>
        </w:rPr>
        <w:t>Stanica Kalesija;</w:t>
      </w:r>
    </w:p>
    <w:p w:rsidR="00D03866" w:rsidRPr="00575766" w:rsidRDefault="00D03866" w:rsidP="008A2A6D">
      <w:pPr>
        <w:pStyle w:val="ListParagraph"/>
        <w:numPr>
          <w:ilvl w:val="0"/>
          <w:numId w:val="14"/>
        </w:numPr>
        <w:rPr>
          <w:rFonts w:eastAsia="TimesNewRomanPSMT"/>
          <w:lang w:eastAsia="hi-IN" w:bidi="hi-IN"/>
        </w:rPr>
      </w:pPr>
      <w:r w:rsidRPr="00575766">
        <w:rPr>
          <w:rFonts w:eastAsia="TimesNewRomanPSMT"/>
          <w:lang w:eastAsia="hi-IN" w:bidi="hi-IN"/>
        </w:rPr>
        <w:t>Služba za vodosnabdijevanje u JU Vodovod i kanalizacija Kalesija;</w:t>
      </w:r>
    </w:p>
    <w:p w:rsidR="00D03866" w:rsidRPr="00575766" w:rsidRDefault="00D03866" w:rsidP="008A2A6D">
      <w:pPr>
        <w:pStyle w:val="ListParagraph"/>
        <w:numPr>
          <w:ilvl w:val="0"/>
          <w:numId w:val="14"/>
        </w:numPr>
        <w:rPr>
          <w:rFonts w:eastAsia="TimesNewRomanPSMT"/>
          <w:lang w:eastAsia="hi-IN" w:bidi="hi-IN"/>
        </w:rPr>
      </w:pPr>
      <w:r w:rsidRPr="00575766">
        <w:rPr>
          <w:rFonts w:eastAsia="TimesNewRomanPSMT"/>
          <w:lang w:eastAsia="hi-IN" w:bidi="hi-IN"/>
        </w:rPr>
        <w:t>Služba za čistoću u DD «Komunalac» Kalesija.</w:t>
      </w:r>
    </w:p>
    <w:p w:rsidR="006F0A7D" w:rsidRDefault="00D03866" w:rsidP="008A2A6D">
      <w:pPr>
        <w:rPr>
          <w:lang w:val="hr-HR" w:eastAsia="hi-IN" w:bidi="hi-IN"/>
        </w:rPr>
      </w:pPr>
      <w:r w:rsidRPr="0094519D">
        <w:rPr>
          <w:lang w:val="hr-HR" w:eastAsia="hi-IN" w:bidi="hi-IN"/>
        </w:rPr>
        <w:t>U slučaju kada ne postoje uslovi za organiziranje Službi zaštite i spašavanja u skladu sa članom 122. Zakona o zaštiti, Općinski načelnik, na prijedlog općinske Službe civilne zaštite, može, u skladu sa procjenom ugroženosti, formirati samostalne službe zaštite i spašavanja koje ć</w:t>
      </w:r>
      <w:r>
        <w:rPr>
          <w:lang w:val="hr-HR" w:eastAsia="hi-IN" w:bidi="hi-IN"/>
        </w:rPr>
        <w:t>e djelovati na području Općine.</w:t>
      </w:r>
    </w:p>
    <w:p w:rsidR="00D03866" w:rsidRPr="0094519D" w:rsidRDefault="006F0A7D" w:rsidP="008A2A6D">
      <w:pPr>
        <w:rPr>
          <w:lang w:val="hr-HR" w:eastAsia="hi-IN" w:bidi="hi-IN"/>
        </w:rPr>
      </w:pPr>
      <w:r w:rsidRPr="006F0A7D">
        <w:rPr>
          <w:lang w:val="hr-HR" w:eastAsia="hi-IN" w:bidi="hi-IN"/>
        </w:rPr>
        <w:t>Ukupan zbir za službe zaštite i spašavanja predviđen Planom ZiS je  53  pripadnika, dok je broj u oblasti privrede i društvenih djelatnosti</w:t>
      </w:r>
      <w:r>
        <w:rPr>
          <w:lang w:val="hr-HR" w:eastAsia="hi-IN" w:bidi="hi-IN"/>
        </w:rPr>
        <w:t>,</w:t>
      </w:r>
      <w:r w:rsidRPr="006F0A7D">
        <w:rPr>
          <w:lang w:val="hr-HR" w:eastAsia="hi-IN" w:bidi="hi-IN"/>
        </w:rPr>
        <w:t xml:space="preserve"> gdje su preduzeća u okviru vlastitih snaga formirali jedinice civilne zaštite jačine voda ili odjeljenja opštih ili specijalizovanih namjena</w:t>
      </w:r>
      <w:r>
        <w:rPr>
          <w:lang w:val="hr-HR" w:eastAsia="hi-IN" w:bidi="hi-IN"/>
        </w:rPr>
        <w:t>,</w:t>
      </w:r>
      <w:r w:rsidRPr="006F0A7D">
        <w:rPr>
          <w:lang w:val="hr-HR" w:eastAsia="hi-IN" w:bidi="hi-IN"/>
        </w:rPr>
        <w:t xml:space="preserve"> predviđen je 135 pripadnika</w:t>
      </w:r>
      <w:r>
        <w:rPr>
          <w:rStyle w:val="FootnoteReference"/>
          <w:lang w:val="hr-HR" w:eastAsia="hi-IN" w:bidi="hi-IN"/>
        </w:rPr>
        <w:footnoteReference w:id="54"/>
      </w:r>
      <w:r w:rsidRPr="006F0A7D">
        <w:rPr>
          <w:lang w:val="hr-HR" w:eastAsia="hi-IN" w:bidi="hi-IN"/>
        </w:rPr>
        <w:t>.</w:t>
      </w:r>
    </w:p>
    <w:p w:rsidR="00D03866" w:rsidRPr="00575766" w:rsidRDefault="00D03866" w:rsidP="008B76AE">
      <w:pPr>
        <w:pStyle w:val="Heading5"/>
        <w:rPr>
          <w:rFonts w:eastAsia="TimesNewRomanPSMT"/>
          <w:lang w:val="hr-HR" w:eastAsia="hi-IN" w:bidi="hi-IN"/>
        </w:rPr>
      </w:pPr>
      <w:r w:rsidRPr="00575766">
        <w:rPr>
          <w:rFonts w:eastAsia="TimesNewRomanPSMT"/>
          <w:lang w:val="hr-HR" w:eastAsia="hi-IN" w:bidi="hi-IN"/>
        </w:rPr>
        <w:t>Lična i uzajamna zaštita</w:t>
      </w:r>
    </w:p>
    <w:p w:rsidR="00D03866" w:rsidRPr="00575766" w:rsidRDefault="00D03866" w:rsidP="00A01D01">
      <w:pPr>
        <w:rPr>
          <w:lang w:val="hr-HR" w:eastAsia="hi-IN" w:bidi="hi-IN"/>
        </w:rPr>
      </w:pPr>
      <w:r w:rsidRPr="0094519D">
        <w:rPr>
          <w:lang w:val="hr-HR" w:eastAsia="hi-IN" w:bidi="hi-IN"/>
        </w:rPr>
        <w:t xml:space="preserve">Svi radno sposobni građani Općine, od 18 do 60 godina života </w:t>
      </w:r>
      <w:r w:rsidR="008B76AE">
        <w:rPr>
          <w:lang w:val="hr-HR" w:eastAsia="hi-IN" w:bidi="hi-IN"/>
        </w:rPr>
        <w:t>(</w:t>
      </w:r>
      <w:r w:rsidRPr="0094519D">
        <w:rPr>
          <w:lang w:val="hr-HR" w:eastAsia="hi-IN" w:bidi="hi-IN"/>
        </w:rPr>
        <w:t>muškarci</w:t>
      </w:r>
      <w:r w:rsidR="008B76AE">
        <w:rPr>
          <w:lang w:val="hr-HR" w:eastAsia="hi-IN" w:bidi="hi-IN"/>
        </w:rPr>
        <w:t>)</w:t>
      </w:r>
      <w:r w:rsidRPr="0094519D">
        <w:rPr>
          <w:lang w:val="hr-HR" w:eastAsia="hi-IN" w:bidi="hi-IN"/>
        </w:rPr>
        <w:t>, odnosno od 18 do 55 godina života (žene), su dužni da se pripremaju za učešće i da učestvuju u zaštiti i spa</w:t>
      </w:r>
      <w:r w:rsidR="008B76AE">
        <w:rPr>
          <w:lang w:val="hr-HR" w:eastAsia="hi-IN" w:bidi="hi-IN"/>
        </w:rPr>
        <w:t>šavanju. Pro</w:t>
      </w:r>
      <w:r w:rsidRPr="0094519D">
        <w:rPr>
          <w:lang w:val="hr-HR" w:eastAsia="hi-IN" w:bidi="hi-IN"/>
        </w:rPr>
        <w:t>pisane mjere i postupci preventivne zaštite i druge hitne intervencije u zaštiti i spašavanju ljudi i materijalnih dobara, u okviru lične i uzajamne zaštite, građani provode svakodnevno s ciljem sprečavanja nastanka i širenja prirodne i</w:t>
      </w:r>
      <w:r w:rsidR="005D6DBF">
        <w:rPr>
          <w:lang w:val="hr-HR" w:eastAsia="hi-IN" w:bidi="hi-IN"/>
        </w:rPr>
        <w:t>li druge nesreće većih razmjera (</w:t>
      </w:r>
      <w:r w:rsidR="005D6DBF" w:rsidRPr="005D6DBF">
        <w:rPr>
          <w:lang w:val="hr-HR" w:eastAsia="hi-IN" w:bidi="hi-IN"/>
        </w:rPr>
        <w:t>preventivne zaštite provode se po potrebi ili svakodnevno, u okviru redovnih poslova, uređenja dvorišta, prilaznih puteva, izgradnjom odvodnih kanala, mini nasipa, krčenjem zapuštanih površina od ambrozije i drugih štetnih korova)</w:t>
      </w:r>
      <w:r w:rsidR="005D6DBF">
        <w:rPr>
          <w:lang w:val="hr-HR" w:eastAsia="hi-IN" w:bidi="hi-IN"/>
        </w:rPr>
        <w:t>.</w:t>
      </w:r>
    </w:p>
    <w:p w:rsidR="00D03866" w:rsidRPr="00575766" w:rsidRDefault="00D03866" w:rsidP="008B76AE">
      <w:pPr>
        <w:pStyle w:val="Heading5"/>
        <w:rPr>
          <w:rFonts w:eastAsia="TimesNewRomanPSMT"/>
          <w:lang w:val="hr-HR" w:eastAsia="hi-IN" w:bidi="hi-IN"/>
        </w:rPr>
      </w:pPr>
      <w:r w:rsidRPr="00575766">
        <w:rPr>
          <w:rFonts w:eastAsia="TimesNewRomanPSMT"/>
          <w:lang w:val="hr-HR" w:eastAsia="hi-IN" w:bidi="hi-IN"/>
        </w:rPr>
        <w:t xml:space="preserve"> Povjerenici civilne zaštite</w:t>
      </w:r>
    </w:p>
    <w:p w:rsidR="00D03866" w:rsidRPr="0094519D" w:rsidRDefault="00D03866" w:rsidP="00A01D01">
      <w:pPr>
        <w:rPr>
          <w:lang w:val="hr-HR" w:eastAsia="hi-IN" w:bidi="hi-IN"/>
        </w:rPr>
      </w:pPr>
      <w:r w:rsidRPr="0094519D">
        <w:rPr>
          <w:lang w:val="hr-HR" w:eastAsia="hi-IN" w:bidi="hi-IN"/>
        </w:rPr>
        <w:t>Planom zaštite i spašavanja od prirodnih i drugih nesreća Općine se vrši određivanje broja povjerenika u stambenim zgradama i naseljima, razrada njihovih poslova i zadataka u miru, za vrijeme prirodnih nepogoda i drugih nesreća, neposrednoj ratnoj opasnosti i ratu.</w:t>
      </w:r>
      <w:r w:rsidR="0072538C">
        <w:rPr>
          <w:lang w:val="hr-HR" w:eastAsia="hi-IN" w:bidi="hi-IN"/>
        </w:rPr>
        <w:t xml:space="preserve"> </w:t>
      </w:r>
      <w:r w:rsidR="0072538C" w:rsidRPr="0072538C">
        <w:rPr>
          <w:lang w:val="hr-HR" w:eastAsia="hi-IN" w:bidi="hi-IN"/>
        </w:rPr>
        <w:t>Ukupan broj za sve zgrade i MZ</w:t>
      </w:r>
      <w:r w:rsidR="0072538C">
        <w:rPr>
          <w:lang w:val="hr-HR" w:eastAsia="hi-IN" w:bidi="hi-IN"/>
        </w:rPr>
        <w:t>,</w:t>
      </w:r>
      <w:r w:rsidR="0072538C" w:rsidRPr="0072538C">
        <w:rPr>
          <w:lang w:val="hr-HR" w:eastAsia="hi-IN" w:bidi="hi-IN"/>
        </w:rPr>
        <w:t xml:space="preserve"> koji je Planom ZiS predviđen</w:t>
      </w:r>
      <w:r w:rsidR="0072538C">
        <w:rPr>
          <w:lang w:val="hr-HR" w:eastAsia="hi-IN" w:bidi="hi-IN"/>
        </w:rPr>
        <w:t>,</w:t>
      </w:r>
      <w:r w:rsidR="0072538C" w:rsidRPr="0072538C">
        <w:rPr>
          <w:lang w:val="hr-HR" w:eastAsia="hi-IN" w:bidi="hi-IN"/>
        </w:rPr>
        <w:t xml:space="preserve"> je 44 povjerenika. S obzirom da nema upravitelja za održavanje zgrada, ovaj plan je upitan</w:t>
      </w:r>
      <w:r w:rsidR="0072538C">
        <w:rPr>
          <w:lang w:val="hr-HR" w:eastAsia="hi-IN" w:bidi="hi-IN"/>
        </w:rPr>
        <w:t>,</w:t>
      </w:r>
      <w:r w:rsidR="0072538C" w:rsidRPr="0072538C">
        <w:rPr>
          <w:lang w:val="hr-HR" w:eastAsia="hi-IN" w:bidi="hi-IN"/>
        </w:rPr>
        <w:t xml:space="preserve"> jer ne postoji baza podataka o ukupnim zajedničkim stambenim objektima, jer broj raste iz dana u dan.</w:t>
      </w:r>
      <w:r w:rsidR="0072538C">
        <w:rPr>
          <w:lang w:val="hr-HR" w:eastAsia="hi-IN" w:bidi="hi-IN"/>
        </w:rPr>
        <w:t xml:space="preserve"> </w:t>
      </w:r>
    </w:p>
    <w:p w:rsidR="00D03866" w:rsidRPr="00575766" w:rsidRDefault="00D03866" w:rsidP="008B76AE">
      <w:pPr>
        <w:pStyle w:val="Heading5"/>
        <w:rPr>
          <w:rFonts w:eastAsia="TimesNewRomanPSMT"/>
          <w:lang w:val="hr-HR" w:eastAsia="hi-IN" w:bidi="hi-IN"/>
        </w:rPr>
      </w:pPr>
      <w:r w:rsidRPr="00575766">
        <w:rPr>
          <w:rFonts w:eastAsia="TimesNewRomanPSMT"/>
          <w:lang w:val="hr-HR" w:eastAsia="hi-IN" w:bidi="hi-IN"/>
        </w:rPr>
        <w:t xml:space="preserve">Finansiranje zaštite i spašavanja </w:t>
      </w:r>
    </w:p>
    <w:p w:rsidR="00D03866" w:rsidRPr="00575766" w:rsidRDefault="00D03866" w:rsidP="008A2A6D">
      <w:pPr>
        <w:rPr>
          <w:lang w:eastAsia="hi-IN" w:bidi="hi-IN"/>
        </w:rPr>
      </w:pPr>
      <w:r w:rsidRPr="0094519D">
        <w:rPr>
          <w:lang w:val="hr-HR" w:eastAsia="hi-IN" w:bidi="hi-IN"/>
        </w:rPr>
        <w:t xml:space="preserve">Finansiranje civilne zaštite obavlja se u skladu sa članom 179. i 180. Zakona o zaštiti i spašavanju ljudi i materijalnih dobara od prirodnih i drugih nesreća i to </w:t>
      </w:r>
      <w:r w:rsidR="008B76AE">
        <w:rPr>
          <w:lang w:val="hr-HR" w:eastAsia="hi-IN" w:bidi="hi-IN"/>
        </w:rPr>
        <w:t xml:space="preserve">iz </w:t>
      </w:r>
      <w:r w:rsidRPr="00575766">
        <w:rPr>
          <w:lang w:eastAsia="hi-IN" w:bidi="hi-IN"/>
        </w:rPr>
        <w:t>Budžeta Općine,</w:t>
      </w:r>
      <w:r w:rsidR="008B76AE">
        <w:rPr>
          <w:lang w:eastAsia="hi-IN" w:bidi="hi-IN"/>
        </w:rPr>
        <w:t xml:space="preserve"> s</w:t>
      </w:r>
      <w:r w:rsidRPr="00575766">
        <w:rPr>
          <w:lang w:eastAsia="hi-IN" w:bidi="hi-IN"/>
        </w:rPr>
        <w:t>redstava pravnih lica,</w:t>
      </w:r>
      <w:r w:rsidR="008B76AE">
        <w:rPr>
          <w:lang w:eastAsia="hi-IN" w:bidi="hi-IN"/>
        </w:rPr>
        <w:t xml:space="preserve"> d</w:t>
      </w:r>
      <w:r w:rsidRPr="00575766">
        <w:rPr>
          <w:lang w:eastAsia="hi-IN" w:bidi="hi-IN"/>
        </w:rPr>
        <w:t>obrovoljnih priloga i</w:t>
      </w:r>
      <w:r w:rsidR="008B76AE">
        <w:rPr>
          <w:lang w:eastAsia="hi-IN" w:bidi="hi-IN"/>
        </w:rPr>
        <w:t xml:space="preserve"> d</w:t>
      </w:r>
      <w:r w:rsidRPr="00575766">
        <w:rPr>
          <w:lang w:eastAsia="hi-IN" w:bidi="hi-IN"/>
        </w:rPr>
        <w:t>rugih izvora utvrđenih Zakonom.</w:t>
      </w:r>
    </w:p>
    <w:p w:rsidR="00C324B4" w:rsidRDefault="008B76AE" w:rsidP="008A2A6D">
      <w:r>
        <w:t>U općini Kalesija, z</w:t>
      </w:r>
      <w:r w:rsidR="00C324B4">
        <w:t>a finansiranje zaštite i spašavanja utrošeni su sljedeći iznosi sredstava</w:t>
      </w:r>
      <w:r w:rsidR="00C324B4">
        <w:rPr>
          <w:rStyle w:val="FootnoteReference"/>
        </w:rPr>
        <w:footnoteReference w:id="55"/>
      </w:r>
      <w:r w:rsidR="00C324B4">
        <w:t>:</w:t>
      </w:r>
    </w:p>
    <w:p w:rsidR="00C324B4" w:rsidRDefault="00C324B4" w:rsidP="008A2A6D">
      <w:pPr>
        <w:pStyle w:val="ListParagraph"/>
        <w:numPr>
          <w:ilvl w:val="0"/>
          <w:numId w:val="15"/>
        </w:numPr>
      </w:pPr>
      <w:r>
        <w:t xml:space="preserve">Ukupna raspoloživa sredstva u 2014.godini: </w:t>
      </w:r>
      <w:r>
        <w:tab/>
        <w:t>945.227,10 KM</w:t>
      </w:r>
    </w:p>
    <w:p w:rsidR="00C324B4" w:rsidRDefault="00C324B4" w:rsidP="008A2A6D">
      <w:pPr>
        <w:pStyle w:val="ListParagraph"/>
        <w:numPr>
          <w:ilvl w:val="0"/>
          <w:numId w:val="15"/>
        </w:numPr>
      </w:pPr>
      <w:r>
        <w:t xml:space="preserve">Ukupna raspoloživa sredstva u 2015.godini: </w:t>
      </w:r>
      <w:r>
        <w:tab/>
        <w:t>383.985,52 KM</w:t>
      </w:r>
    </w:p>
    <w:p w:rsidR="00C324B4" w:rsidRDefault="00C324B4" w:rsidP="008A2A6D">
      <w:pPr>
        <w:pStyle w:val="ListParagraph"/>
        <w:numPr>
          <w:ilvl w:val="0"/>
          <w:numId w:val="15"/>
        </w:numPr>
      </w:pPr>
      <w:r>
        <w:t xml:space="preserve">Ukupna raspoloživa sredstva u 2016.godini: </w:t>
      </w:r>
      <w:r>
        <w:tab/>
        <w:t>421.640,77 KM</w:t>
      </w:r>
    </w:p>
    <w:p w:rsidR="008B76AE" w:rsidRDefault="00C324B4" w:rsidP="008A2A6D">
      <w:r>
        <w:t>Može se zaključiti da je najviše sredstava utrošeno tokom 2014. godine,</w:t>
      </w:r>
      <w:r w:rsidR="008B76AE">
        <w:t xml:space="preserve"> za saniranje posljedica elementarnih nepogoda,</w:t>
      </w:r>
      <w:r>
        <w:t xml:space="preserve"> a najmanje tokom 2015.godine, dok je utrošak </w:t>
      </w:r>
      <w:r w:rsidR="008B76AE">
        <w:t>sredstava</w:t>
      </w:r>
      <w:r w:rsidR="00575766">
        <w:t xml:space="preserve"> porastao u 2016. godini.</w:t>
      </w:r>
    </w:p>
    <w:p w:rsidR="00CB21D3" w:rsidRPr="008109BA" w:rsidRDefault="00CB21D3" w:rsidP="00AD59CB">
      <w:pPr>
        <w:pStyle w:val="Heading4"/>
      </w:pPr>
      <w:bookmarkStart w:id="86" w:name="_Toc500140037"/>
      <w:r w:rsidRPr="008109BA">
        <w:lastRenderedPageBreak/>
        <w:t>Upravljanje čvrstim otpadom</w:t>
      </w:r>
      <w:bookmarkEnd w:id="86"/>
    </w:p>
    <w:p w:rsidR="008109BA" w:rsidRDefault="00FF707A" w:rsidP="008A2A6D">
      <w:pPr>
        <w:rPr>
          <w:lang w:eastAsia="hi-IN" w:bidi="hi-IN"/>
        </w:rPr>
      </w:pPr>
      <w:r w:rsidRPr="008109BA">
        <w:rPr>
          <w:lang w:val="hr-HR" w:eastAsia="hi-IN" w:bidi="hi-IN"/>
        </w:rPr>
        <w:t>Općina Kalesija je izradila i usvojila Plan upravljanja otpadom 2012-2017</w:t>
      </w:r>
      <w:r w:rsidRPr="008109BA">
        <w:rPr>
          <w:rStyle w:val="FootnoteReference"/>
          <w:rFonts w:eastAsia="Times New Roman"/>
          <w:kern w:val="1"/>
          <w:szCs w:val="24"/>
          <w:lang w:val="hr-HR" w:eastAsia="hi-IN" w:bidi="hi-IN"/>
        </w:rPr>
        <w:footnoteReference w:id="56"/>
      </w:r>
      <w:r w:rsidR="008109BA">
        <w:rPr>
          <w:lang w:val="hr-HR" w:eastAsia="hi-IN" w:bidi="hi-IN"/>
        </w:rPr>
        <w:t xml:space="preserve"> i </w:t>
      </w:r>
      <w:r w:rsidRPr="008109BA">
        <w:rPr>
          <w:lang w:val="hr-HR" w:eastAsia="hi-IN" w:bidi="hi-IN"/>
        </w:rPr>
        <w:t>done</w:t>
      </w:r>
      <w:r w:rsidR="008109BA">
        <w:rPr>
          <w:lang w:val="hr-HR" w:eastAsia="hi-IN" w:bidi="hi-IN"/>
        </w:rPr>
        <w:t xml:space="preserve">sen je </w:t>
      </w:r>
      <w:r w:rsidRPr="008109BA">
        <w:rPr>
          <w:lang w:val="hr-HR" w:eastAsia="hi-IN" w:bidi="hi-IN"/>
        </w:rPr>
        <w:t>niz odluka koje regulišu oblast upravljanja komunalnim otpadom, kao što su Odluka  o obaveznom prikupljanju i odvozu otpada</w:t>
      </w:r>
      <w:r w:rsidRPr="008109BA">
        <w:rPr>
          <w:rStyle w:val="FootnoteReference"/>
          <w:rFonts w:eastAsia="Times New Roman"/>
          <w:kern w:val="1"/>
          <w:szCs w:val="24"/>
          <w:lang w:val="hr-HR" w:eastAsia="hi-IN" w:bidi="hi-IN"/>
        </w:rPr>
        <w:footnoteReference w:id="57"/>
      </w:r>
      <w:r w:rsidRPr="008109BA">
        <w:rPr>
          <w:lang w:val="hr-HR" w:eastAsia="hi-IN" w:bidi="hi-IN"/>
        </w:rPr>
        <w:t xml:space="preserve"> i Odluka o komunalnom redu</w:t>
      </w:r>
      <w:r w:rsidRPr="008109BA">
        <w:rPr>
          <w:rStyle w:val="FootnoteReference"/>
          <w:rFonts w:eastAsia="Times New Roman"/>
          <w:kern w:val="1"/>
          <w:szCs w:val="24"/>
          <w:lang w:val="hr-HR" w:eastAsia="hi-IN" w:bidi="hi-IN"/>
        </w:rPr>
        <w:footnoteReference w:id="58"/>
      </w:r>
      <w:r w:rsidRPr="008109BA">
        <w:rPr>
          <w:lang w:val="hr-HR" w:eastAsia="hi-IN" w:bidi="hi-IN"/>
        </w:rPr>
        <w:t xml:space="preserve">. </w:t>
      </w:r>
    </w:p>
    <w:p w:rsidR="008109BA" w:rsidRPr="008109BA" w:rsidRDefault="008109BA" w:rsidP="008A2A6D">
      <w:pPr>
        <w:rPr>
          <w:lang w:eastAsia="hi-IN" w:bidi="hi-IN"/>
        </w:rPr>
      </w:pPr>
      <w:r>
        <w:rPr>
          <w:lang w:eastAsia="hi-IN" w:bidi="hi-IN"/>
        </w:rPr>
        <w:t>C</w:t>
      </w:r>
      <w:r w:rsidR="00FF707A" w:rsidRPr="008109BA">
        <w:rPr>
          <w:lang w:eastAsia="hi-IN" w:bidi="hi-IN"/>
        </w:rPr>
        <w:t>ijelo područje općine je pokriveno redovnim odvozom otpada, ali uključenost domaćinstava</w:t>
      </w:r>
      <w:r>
        <w:rPr>
          <w:lang w:eastAsia="hi-IN" w:bidi="hi-IN"/>
        </w:rPr>
        <w:t xml:space="preserve"> nije zadovoljavajuća – </w:t>
      </w:r>
      <w:r w:rsidR="00FF707A" w:rsidRPr="008109BA">
        <w:t>kreće</w:t>
      </w:r>
      <w:r>
        <w:t xml:space="preserve"> </w:t>
      </w:r>
      <w:r w:rsidR="00FF707A" w:rsidRPr="008109BA">
        <w:t xml:space="preserve">se oko 50% </w:t>
      </w:r>
      <w:r w:rsidR="00FF707A" w:rsidRPr="008109BA">
        <w:rPr>
          <w:lang w:eastAsia="hi-IN" w:bidi="hi-IN"/>
        </w:rPr>
        <w:t>(uključeno 4</w:t>
      </w:r>
      <w:r>
        <w:rPr>
          <w:lang w:eastAsia="hi-IN" w:bidi="hi-IN"/>
        </w:rPr>
        <w:t>.</w:t>
      </w:r>
      <w:r w:rsidR="00FF707A" w:rsidRPr="008109BA">
        <w:rPr>
          <w:lang w:eastAsia="hi-IN" w:bidi="hi-IN"/>
        </w:rPr>
        <w:t xml:space="preserve">333 domaćinstva). S ciljem pristupanja konceptu regionalnog odlaganja otpada, Općina Kalesija je sa još osam općina iz regije Zvornik osnovala preduzeće </w:t>
      </w:r>
      <w:r w:rsidRPr="008109BA">
        <w:rPr>
          <w:lang w:eastAsia="hi-IN" w:bidi="hi-IN"/>
        </w:rPr>
        <w:t xml:space="preserve">JP ''Regionalna deponija Zvornik'' </w:t>
      </w:r>
      <w:r w:rsidR="00FF707A" w:rsidRPr="008109BA">
        <w:rPr>
          <w:lang w:eastAsia="hi-IN" w:bidi="hi-IN"/>
        </w:rPr>
        <w:t xml:space="preserve">i izgradila Regionalnu </w:t>
      </w:r>
      <w:r w:rsidRPr="008109BA">
        <w:rPr>
          <w:lang w:eastAsia="hi-IN" w:bidi="hi-IN"/>
        </w:rPr>
        <w:t xml:space="preserve">sanitarnu </w:t>
      </w:r>
      <w:r w:rsidR="00FF707A" w:rsidRPr="008109BA">
        <w:rPr>
          <w:lang w:eastAsia="hi-IN" w:bidi="hi-IN"/>
        </w:rPr>
        <w:t>deponiju Crni vrh. KP ''Komunal</w:t>
      </w:r>
      <w:r>
        <w:rPr>
          <w:lang w:eastAsia="hi-IN" w:bidi="hi-IN"/>
        </w:rPr>
        <w:t xml:space="preserve">ac '' d.d. Kalesija od januara </w:t>
      </w:r>
      <w:r w:rsidR="00FF707A" w:rsidRPr="008109BA">
        <w:rPr>
          <w:lang w:eastAsia="hi-IN" w:bidi="hi-IN"/>
        </w:rPr>
        <w:t xml:space="preserve">2017. godine prikupljeni otpad odvozi </w:t>
      </w:r>
      <w:r>
        <w:rPr>
          <w:lang w:eastAsia="hi-IN" w:bidi="hi-IN"/>
        </w:rPr>
        <w:t xml:space="preserve">i odlaže </w:t>
      </w:r>
      <w:r w:rsidR="00FF707A" w:rsidRPr="008109BA">
        <w:rPr>
          <w:lang w:eastAsia="hi-IN" w:bidi="hi-IN"/>
        </w:rPr>
        <w:t>na Regionalnu deponiju.  U skladu sa Cjenovnikom</w:t>
      </w:r>
      <w:r w:rsidR="00FF707A" w:rsidRPr="008109BA">
        <w:rPr>
          <w:rStyle w:val="FootnoteReference"/>
          <w:lang w:eastAsia="hi-IN" w:bidi="hi-IN"/>
        </w:rPr>
        <w:footnoteReference w:id="59"/>
      </w:r>
      <w:r w:rsidR="00FF707A" w:rsidRPr="008109BA">
        <w:rPr>
          <w:lang w:eastAsia="hi-IN" w:bidi="hi-IN"/>
        </w:rPr>
        <w:t xml:space="preserve"> za odloženi otpad na regionalnu deoponij</w:t>
      </w:r>
      <w:r w:rsidR="008B76AE">
        <w:rPr>
          <w:lang w:eastAsia="hi-IN" w:bidi="hi-IN"/>
        </w:rPr>
        <w:t xml:space="preserve">u se plaća naknada u iznosu od </w:t>
      </w:r>
      <w:r w:rsidR="00FF707A" w:rsidRPr="008109BA">
        <w:rPr>
          <w:lang w:eastAsia="hi-IN" w:bidi="hi-IN"/>
        </w:rPr>
        <w:t>45,63 KM/t, što komunalnom preduzeću predstavlja trošak koji dodatno otežava poslovanje preduzeća. Prema dosadašnjim pokazateljima, za prethodna tri mjeseca, prosječno se prikupi i na r</w:t>
      </w:r>
      <w:r>
        <w:rPr>
          <w:lang w:eastAsia="hi-IN" w:bidi="hi-IN"/>
        </w:rPr>
        <w:t xml:space="preserve">egionalnu deponiju odloži </w:t>
      </w:r>
      <w:r w:rsidR="00FF707A" w:rsidRPr="008109BA">
        <w:rPr>
          <w:lang w:eastAsia="hi-IN" w:bidi="hi-IN"/>
        </w:rPr>
        <w:t>290,0 t/mj komunalnog otpada, što čini trošak od 13.232,7</w:t>
      </w:r>
      <w:r w:rsidR="008B76AE">
        <w:rPr>
          <w:lang w:eastAsia="hi-IN" w:bidi="hi-IN"/>
        </w:rPr>
        <w:t xml:space="preserve"> KM/mj. Ovaj trošak, ujedno sa </w:t>
      </w:r>
      <w:r w:rsidR="00FF707A" w:rsidRPr="008109BA">
        <w:rPr>
          <w:lang w:eastAsia="hi-IN" w:bidi="hi-IN"/>
        </w:rPr>
        <w:t>povećanim troškovima transporta, je veliko finansijsko opterećenja za KP ''Komunalac '' d.d. Kalesija, čime je otežano poslovanje preduzeća. Bez povećanja cijene usluge i subvencije troškova, pružanje ove komunaln</w:t>
      </w:r>
      <w:r>
        <w:rPr>
          <w:lang w:eastAsia="hi-IN" w:bidi="hi-IN"/>
        </w:rPr>
        <w:t>e usluge  će postati upitno.</w:t>
      </w:r>
    </w:p>
    <w:p w:rsidR="008109BA" w:rsidRDefault="00FF707A" w:rsidP="008A2A6D">
      <w:pPr>
        <w:rPr>
          <w:lang w:val="hr-HR" w:eastAsia="hi-IN" w:bidi="hi-IN"/>
        </w:rPr>
      </w:pPr>
      <w:r w:rsidRPr="008109BA">
        <w:rPr>
          <w:lang w:val="hr-HR" w:eastAsia="hi-IN" w:bidi="hi-IN"/>
        </w:rPr>
        <w:t>Da bi se ublažilo povećanje cijene i istovremeno zaštitio okoliš i očuvali prirodni resursi neophodno je raditi na pokretanju projekata smanjenja količine otpa</w:t>
      </w:r>
      <w:r w:rsidR="008B76AE">
        <w:rPr>
          <w:lang w:val="hr-HR" w:eastAsia="hi-IN" w:bidi="hi-IN"/>
        </w:rPr>
        <w:t xml:space="preserve">da koji se odlaže na deponiju, </w:t>
      </w:r>
      <w:r w:rsidRPr="008109BA">
        <w:rPr>
          <w:lang w:val="hr-HR" w:eastAsia="hi-IN" w:bidi="hi-IN"/>
        </w:rPr>
        <w:t>što se može postići primarnom selekcijom otpada i njegovim</w:t>
      </w:r>
      <w:r w:rsidR="008109BA">
        <w:rPr>
          <w:lang w:val="hr-HR" w:eastAsia="hi-IN" w:bidi="hi-IN"/>
        </w:rPr>
        <w:t xml:space="preserve"> recikliranjem i kompostiranjem.</w:t>
      </w:r>
    </w:p>
    <w:p w:rsidR="002C4BE4" w:rsidRDefault="00FF707A" w:rsidP="002C4BE4">
      <w:pPr>
        <w:rPr>
          <w:lang w:val="hr-HR" w:eastAsia="hi-IN" w:bidi="hi-IN"/>
        </w:rPr>
      </w:pPr>
      <w:r w:rsidRPr="008109BA">
        <w:rPr>
          <w:lang w:val="hr-HR" w:eastAsia="hi-IN" w:bidi="hi-IN"/>
        </w:rPr>
        <w:t>Općina Kalesija je izradila dokumentaciju zatvaranja lokalne deponije Vis</w:t>
      </w:r>
      <w:r w:rsidR="00997A3B">
        <w:rPr>
          <w:lang w:val="hr-HR" w:eastAsia="hi-IN" w:bidi="hi-IN"/>
        </w:rPr>
        <w:t xml:space="preserve">, što je u skladu sa </w:t>
      </w:r>
      <w:r w:rsidR="00997A3B" w:rsidRPr="00997A3B">
        <w:rPr>
          <w:lang w:val="hr-HR" w:eastAsia="hi-IN" w:bidi="hi-IN"/>
        </w:rPr>
        <w:t>Kantonalni</w:t>
      </w:r>
      <w:r w:rsidR="00997A3B">
        <w:rPr>
          <w:lang w:val="hr-HR" w:eastAsia="hi-IN" w:bidi="hi-IN"/>
        </w:rPr>
        <w:t>m</w:t>
      </w:r>
      <w:r w:rsidR="00997A3B" w:rsidRPr="00997A3B">
        <w:rPr>
          <w:lang w:val="hr-HR" w:eastAsia="hi-IN" w:bidi="hi-IN"/>
        </w:rPr>
        <w:t xml:space="preserve"> Plan</w:t>
      </w:r>
      <w:r w:rsidR="00997A3B">
        <w:rPr>
          <w:lang w:val="hr-HR" w:eastAsia="hi-IN" w:bidi="hi-IN"/>
        </w:rPr>
        <w:t>om</w:t>
      </w:r>
      <w:r w:rsidR="00997A3B" w:rsidRPr="00997A3B">
        <w:rPr>
          <w:lang w:val="hr-HR" w:eastAsia="hi-IN" w:bidi="hi-IN"/>
        </w:rPr>
        <w:t xml:space="preserve"> upravljanja otpadom za period 2015-2020.</w:t>
      </w:r>
      <w:r w:rsidR="00997A3B">
        <w:rPr>
          <w:lang w:val="hr-HR" w:eastAsia="hi-IN" w:bidi="hi-IN"/>
        </w:rPr>
        <w:t xml:space="preserve"> Trenutno se radi na </w:t>
      </w:r>
      <w:r w:rsidRPr="008109BA">
        <w:rPr>
          <w:lang w:val="hr-HR" w:eastAsia="hi-IN" w:bidi="hi-IN"/>
        </w:rPr>
        <w:t>ishodovanj</w:t>
      </w:r>
      <w:r w:rsidR="00997A3B">
        <w:rPr>
          <w:lang w:val="hr-HR" w:eastAsia="hi-IN" w:bidi="hi-IN"/>
        </w:rPr>
        <w:t>u</w:t>
      </w:r>
      <w:r w:rsidRPr="008109BA">
        <w:rPr>
          <w:lang w:val="hr-HR" w:eastAsia="hi-IN" w:bidi="hi-IN"/>
        </w:rPr>
        <w:t xml:space="preserve"> potrebnih saglasnosti i </w:t>
      </w:r>
      <w:r w:rsidR="00997A3B">
        <w:rPr>
          <w:lang w:val="hr-HR" w:eastAsia="hi-IN" w:bidi="hi-IN"/>
        </w:rPr>
        <w:t>iznalaženju</w:t>
      </w:r>
      <w:r w:rsidRPr="008109BA">
        <w:rPr>
          <w:lang w:val="hr-HR" w:eastAsia="hi-IN" w:bidi="hi-IN"/>
        </w:rPr>
        <w:t xml:space="preserve"> finasijskih sredstava da se pristupi </w:t>
      </w:r>
      <w:r w:rsidR="00997A3B">
        <w:rPr>
          <w:lang w:val="hr-HR" w:eastAsia="hi-IN" w:bidi="hi-IN"/>
        </w:rPr>
        <w:t>realizaciji planiranih aktivnosti</w:t>
      </w:r>
      <w:r w:rsidRPr="008109BA">
        <w:rPr>
          <w:lang w:val="hr-HR" w:eastAsia="hi-IN" w:bidi="hi-IN"/>
        </w:rPr>
        <w:t>. Učinjen</w:t>
      </w:r>
      <w:r w:rsidR="008109BA">
        <w:rPr>
          <w:lang w:val="hr-HR" w:eastAsia="hi-IN" w:bidi="hi-IN"/>
        </w:rPr>
        <w:t>e</w:t>
      </w:r>
      <w:r w:rsidRPr="008109BA">
        <w:rPr>
          <w:lang w:val="hr-HR" w:eastAsia="hi-IN" w:bidi="hi-IN"/>
        </w:rPr>
        <w:t xml:space="preserve"> su značajne </w:t>
      </w:r>
      <w:r w:rsidRPr="00351374">
        <w:rPr>
          <w:lang w:val="hr-HR" w:eastAsia="hi-IN" w:bidi="hi-IN"/>
        </w:rPr>
        <w:t>aktivnosti na uklanjanju nelegalno odloženog otpada</w:t>
      </w:r>
      <w:r w:rsidR="00351374" w:rsidRPr="00351374">
        <w:rPr>
          <w:lang w:val="hr-HR" w:eastAsia="hi-IN" w:bidi="hi-IN"/>
        </w:rPr>
        <w:t xml:space="preserve">. U okviru </w:t>
      </w:r>
      <w:r w:rsidR="00F1066C" w:rsidRPr="00351374">
        <w:rPr>
          <w:lang w:val="hr-HR" w:eastAsia="hi-IN" w:bidi="hi-IN"/>
        </w:rPr>
        <w:t>projekt</w:t>
      </w:r>
      <w:r w:rsidR="00351374" w:rsidRPr="00351374">
        <w:rPr>
          <w:lang w:val="hr-HR" w:eastAsia="hi-IN" w:bidi="hi-IN"/>
        </w:rPr>
        <w:t>a</w:t>
      </w:r>
      <w:r w:rsidR="00F1066C" w:rsidRPr="00351374">
        <w:rPr>
          <w:lang w:val="hr-HR" w:eastAsia="hi-IN" w:bidi="hi-IN"/>
        </w:rPr>
        <w:t xml:space="preserve"> „Poboljšanje  sistema upravljanj</w:t>
      </w:r>
      <w:r w:rsidR="00351374" w:rsidRPr="00351374">
        <w:rPr>
          <w:lang w:val="hr-HR" w:eastAsia="hi-IN" w:bidi="hi-IN"/>
        </w:rPr>
        <w:t>a otpadom na području općine Kalesija</w:t>
      </w:r>
      <w:r w:rsidR="00F1066C" w:rsidRPr="00351374">
        <w:rPr>
          <w:lang w:val="hr-HR" w:eastAsia="hi-IN" w:bidi="hi-IN"/>
        </w:rPr>
        <w:t>“</w:t>
      </w:r>
      <w:r w:rsidR="00351374" w:rsidRPr="00351374">
        <w:rPr>
          <w:lang w:val="hr-HR" w:eastAsia="hi-IN" w:bidi="hi-IN"/>
        </w:rPr>
        <w:t>, u aprilu 2017. godine,</w:t>
      </w:r>
      <w:r w:rsidR="002C4BE4" w:rsidRPr="00351374">
        <w:rPr>
          <w:lang w:val="hr-HR" w:eastAsia="hi-IN" w:bidi="hi-IN"/>
        </w:rPr>
        <w:t xml:space="preserve"> od 34 </w:t>
      </w:r>
      <w:r w:rsidR="002E32D4" w:rsidRPr="00351374">
        <w:rPr>
          <w:lang w:val="hr-HR" w:eastAsia="hi-IN" w:bidi="hi-IN"/>
        </w:rPr>
        <w:t>divlj</w:t>
      </w:r>
      <w:r w:rsidR="00351374" w:rsidRPr="00351374">
        <w:rPr>
          <w:lang w:val="hr-HR" w:eastAsia="hi-IN" w:bidi="hi-IN"/>
        </w:rPr>
        <w:t>e</w:t>
      </w:r>
      <w:r w:rsidR="002C4BE4" w:rsidRPr="00351374">
        <w:rPr>
          <w:lang w:val="hr-HR" w:eastAsia="hi-IN" w:bidi="hi-IN"/>
        </w:rPr>
        <w:t xml:space="preserve"> deponije 24 deponije su potpuno očišćen</w:t>
      </w:r>
      <w:r w:rsidR="00351374" w:rsidRPr="00351374">
        <w:rPr>
          <w:lang w:val="hr-HR" w:eastAsia="hi-IN" w:bidi="hi-IN"/>
        </w:rPr>
        <w:t>e</w:t>
      </w:r>
      <w:r w:rsidR="002C4BE4" w:rsidRPr="00351374">
        <w:rPr>
          <w:lang w:val="hr-HR" w:eastAsia="hi-IN" w:bidi="hi-IN"/>
        </w:rPr>
        <w:t xml:space="preserve">, a 10 deponija </w:t>
      </w:r>
      <w:r w:rsidR="00351374" w:rsidRPr="00351374">
        <w:rPr>
          <w:lang w:val="hr-HR" w:eastAsia="hi-IN" w:bidi="hi-IN"/>
        </w:rPr>
        <w:t xml:space="preserve">je </w:t>
      </w:r>
      <w:r w:rsidR="002C4BE4" w:rsidRPr="00351374">
        <w:rPr>
          <w:lang w:val="hr-HR" w:eastAsia="hi-IN" w:bidi="hi-IN"/>
        </w:rPr>
        <w:t>djelimično očišćeno</w:t>
      </w:r>
      <w:r w:rsidR="00351374" w:rsidRPr="00351374">
        <w:rPr>
          <w:lang w:val="hr-HR" w:eastAsia="hi-IN" w:bidi="hi-IN"/>
        </w:rPr>
        <w:t>. Ma</w:t>
      </w:r>
      <w:r w:rsidR="002C4BE4" w:rsidRPr="00351374">
        <w:rPr>
          <w:lang w:val="hr-HR" w:eastAsia="hi-IN" w:bidi="hi-IN"/>
        </w:rPr>
        <w:t xml:space="preserve">nje količine otpada </w:t>
      </w:r>
      <w:r w:rsidR="00351374" w:rsidRPr="00351374">
        <w:rPr>
          <w:lang w:val="hr-HR" w:eastAsia="hi-IN" w:bidi="hi-IN"/>
        </w:rPr>
        <w:t xml:space="preserve">još uvijek se </w:t>
      </w:r>
      <w:r w:rsidR="002C4BE4" w:rsidRPr="00351374">
        <w:rPr>
          <w:lang w:val="hr-HR" w:eastAsia="hi-IN" w:bidi="hi-IN"/>
        </w:rPr>
        <w:t>nalaze nepropisno</w:t>
      </w:r>
      <w:r w:rsidR="002C4BE4">
        <w:rPr>
          <w:lang w:val="hr-HR" w:eastAsia="hi-IN" w:bidi="hi-IN"/>
        </w:rPr>
        <w:t xml:space="preserve"> odložene i</w:t>
      </w:r>
      <w:r w:rsidR="002C4BE4" w:rsidRPr="008109BA">
        <w:rPr>
          <w:lang w:val="hr-HR" w:eastAsia="hi-IN" w:bidi="hi-IN"/>
        </w:rPr>
        <w:t xml:space="preserve"> potrebno </w:t>
      </w:r>
      <w:r w:rsidR="002C4BE4">
        <w:rPr>
          <w:lang w:val="hr-HR" w:eastAsia="hi-IN" w:bidi="hi-IN"/>
        </w:rPr>
        <w:t xml:space="preserve">ih je </w:t>
      </w:r>
      <w:r w:rsidR="002C4BE4" w:rsidRPr="008109BA">
        <w:rPr>
          <w:lang w:val="hr-HR" w:eastAsia="hi-IN" w:bidi="hi-IN"/>
        </w:rPr>
        <w:t>ukloniti u narednom periodu.</w:t>
      </w:r>
    </w:p>
    <w:p w:rsidR="00F1066C" w:rsidRDefault="00F1066C" w:rsidP="008A2A6D">
      <w:pPr>
        <w:rPr>
          <w:lang w:val="hr-HR" w:eastAsia="hi-IN" w:bidi="hi-IN"/>
        </w:rPr>
      </w:pPr>
    </w:p>
    <w:p w:rsidR="00C612FB" w:rsidRPr="00173CC4" w:rsidRDefault="00C612FB" w:rsidP="00AD59CB">
      <w:pPr>
        <w:pStyle w:val="Heading4"/>
        <w:rPr>
          <w:rFonts w:eastAsia="Calibri, Calibri"/>
        </w:rPr>
      </w:pPr>
      <w:bookmarkStart w:id="87" w:name="_Toc500140038"/>
      <w:r>
        <w:rPr>
          <w:rFonts w:eastAsia="Calibri, Calibri"/>
        </w:rPr>
        <w:t>Šumarstvo</w:t>
      </w:r>
      <w:bookmarkEnd w:id="87"/>
    </w:p>
    <w:p w:rsidR="002628F2" w:rsidRDefault="00C612FB" w:rsidP="008A2A6D">
      <w:r w:rsidRPr="00C612FB">
        <w:t xml:space="preserve">Ukupna površina šuma i šumskog zemljišta na području Općine Kalesija iznosi </w:t>
      </w:r>
      <w:r w:rsidRPr="00C612FB">
        <w:rPr>
          <w:rFonts w:eastAsia="Calibri-Bold"/>
        </w:rPr>
        <w:t>7.319,78</w:t>
      </w:r>
      <w:r w:rsidRPr="00C612FB">
        <w:t xml:space="preserve"> ha sa </w:t>
      </w:r>
      <w:r w:rsidRPr="00C612FB">
        <w:rPr>
          <w:rFonts w:eastAsia="Calibri-Bold"/>
        </w:rPr>
        <w:t>3.597,16</w:t>
      </w:r>
      <w:r w:rsidRPr="00C612FB">
        <w:t xml:space="preserve"> ha ili 49% državnih šuma i šumskog zemljišta, dok je 22% ili </w:t>
      </w:r>
      <w:r w:rsidR="002628F2">
        <w:rPr>
          <w:rFonts w:eastAsia="Calibri-Bold"/>
        </w:rPr>
        <w:t>1.641,34 ha</w:t>
      </w:r>
      <w:r w:rsidRPr="00C612FB">
        <w:t xml:space="preserve"> u privatnom vlasništvu, a 28%  ili </w:t>
      </w:r>
      <w:r w:rsidRPr="00C612FB">
        <w:rPr>
          <w:rFonts w:eastAsia="Calibri-Bold"/>
        </w:rPr>
        <w:t xml:space="preserve">2.081,28 ha </w:t>
      </w:r>
      <w:r w:rsidRPr="00C612FB">
        <w:t xml:space="preserve">čine </w:t>
      </w:r>
      <w:r w:rsidR="002628F2">
        <w:rPr>
          <w:rFonts w:eastAsia="Calibri-Bold"/>
        </w:rPr>
        <w:t>n</w:t>
      </w:r>
      <w:r w:rsidRPr="00C612FB">
        <w:rPr>
          <w:rFonts w:eastAsia="Calibri-Bold"/>
        </w:rPr>
        <w:t>ekategorisane šume</w:t>
      </w:r>
      <w:r w:rsidRPr="00C612FB">
        <w:t>.</w:t>
      </w:r>
      <w:r w:rsidR="002628F2">
        <w:t xml:space="preserve"> </w:t>
      </w:r>
    </w:p>
    <w:p w:rsidR="00C612FB" w:rsidRPr="00C612FB" w:rsidRDefault="00C612FB" w:rsidP="008A2A6D">
      <w:r w:rsidRPr="00C612FB">
        <w:t>Promatrajući po osnovnim kategorijama šumskog zemljišta, u državnim š</w:t>
      </w:r>
      <w:r w:rsidR="002628F2">
        <w:t>umama dominiraju Izdanačke šume</w:t>
      </w:r>
      <w:r w:rsidRPr="00C612FB">
        <w:t xml:space="preserve"> zastupljene sa </w:t>
      </w:r>
      <w:r w:rsidR="002628F2">
        <w:t>20</w:t>
      </w:r>
      <w:r w:rsidRPr="00C612FB">
        <w:t xml:space="preserve">%, Visoke šume zauzimaju površinu od </w:t>
      </w:r>
      <w:r w:rsidR="002628F2">
        <w:t>15</w:t>
      </w:r>
      <w:r w:rsidRPr="00C612FB">
        <w:t>%,</w:t>
      </w:r>
      <w:r w:rsidR="002628F2">
        <w:t xml:space="preserve"> a</w:t>
      </w:r>
      <w:r w:rsidRPr="00C612FB">
        <w:t xml:space="preserve"> </w:t>
      </w:r>
      <w:r w:rsidR="002628F2">
        <w:t>Sporno šumsko zemljište zauzima</w:t>
      </w:r>
      <w:r w:rsidRPr="00C612FB">
        <w:t xml:space="preserve"> površinu od 11% ukupnog šumskog zemljišta</w:t>
      </w:r>
      <w:r w:rsidR="002628F2">
        <w:t>. O</w:t>
      </w:r>
      <w:r w:rsidRPr="00C612FB">
        <w:t xml:space="preserve">stale šumske površine, koje </w:t>
      </w:r>
      <w:r w:rsidR="002628F2">
        <w:t>uključuju Šumske kulture (</w:t>
      </w:r>
      <w:r w:rsidRPr="00C612FB">
        <w:t>1%</w:t>
      </w:r>
      <w:r w:rsidR="002628F2">
        <w:t>)</w:t>
      </w:r>
      <w:r w:rsidRPr="00C612FB">
        <w:t>, G</w:t>
      </w:r>
      <w:r w:rsidR="002628F2">
        <w:t xml:space="preserve">oleti </w:t>
      </w:r>
      <w:r w:rsidRPr="00C612FB">
        <w:t xml:space="preserve">ispod gornje </w:t>
      </w:r>
      <w:r w:rsidR="002628F2">
        <w:t>granice privredne šume (2</w:t>
      </w:r>
      <w:r w:rsidRPr="00C612FB">
        <w:t>%</w:t>
      </w:r>
      <w:r w:rsidR="002628F2">
        <w:t>)</w:t>
      </w:r>
      <w:r w:rsidRPr="00C612FB">
        <w:t xml:space="preserve">, Neproduktivne površine u šumarskom pogledu </w:t>
      </w:r>
      <w:r w:rsidR="002628F2">
        <w:t>(0,</w:t>
      </w:r>
      <w:r w:rsidRPr="00C612FB">
        <w:t>40%</w:t>
      </w:r>
      <w:r w:rsidR="002628F2">
        <w:t>)</w:t>
      </w:r>
      <w:r w:rsidRPr="00C612FB">
        <w:t xml:space="preserve"> i Nekategorisano šumsko zemljište </w:t>
      </w:r>
      <w:r w:rsidR="002628F2">
        <w:t>(0,08</w:t>
      </w:r>
      <w:r w:rsidRPr="00C612FB">
        <w:t>%</w:t>
      </w:r>
      <w:r w:rsidR="002628F2">
        <w:t>)</w:t>
      </w:r>
      <w:r w:rsidRPr="00C612FB">
        <w:t xml:space="preserve"> ukupno </w:t>
      </w:r>
      <w:r w:rsidR="002628F2">
        <w:t>zauzimaju</w:t>
      </w:r>
      <w:r w:rsidRPr="00C612FB">
        <w:t xml:space="preserve"> </w:t>
      </w:r>
      <w:r w:rsidR="002628F2">
        <w:t>manje od 4</w:t>
      </w:r>
      <w:r w:rsidRPr="00C612FB">
        <w:t>% ostalog zemljišta pod šumama.</w:t>
      </w:r>
    </w:p>
    <w:p w:rsidR="00C612FB" w:rsidRPr="00C612FB" w:rsidRDefault="00C612FB" w:rsidP="008A2A6D">
      <w:r w:rsidRPr="00C612FB">
        <w:t>Šumama i šumskim zemljištem u državnom vlasništvu, na prostoru općine Kalesija, a na osnovu</w:t>
      </w:r>
      <w:r w:rsidR="002628F2">
        <w:t xml:space="preserve"> </w:t>
      </w:r>
      <w:r w:rsidRPr="00C612FB">
        <w:t>Zakona o šumama, gazduje JP „Šume Tuzlanskog kantona“ d.d. Kladanj, preko šumskih gazdinstava.</w:t>
      </w:r>
    </w:p>
    <w:p w:rsidR="002628F2" w:rsidRDefault="00C612FB" w:rsidP="008A2A6D">
      <w:r w:rsidRPr="00C612FB">
        <w:t xml:space="preserve">Značajni problemi šumarstva ogledaju se u  neadekvatnim mjerama prevencije i pripravnosti u smislu odgovora na vremenske nepogode i katastrofe, nedovoljno razvijenoj integralnoj zaštiti šuma, postojanju </w:t>
      </w:r>
      <w:r w:rsidRPr="00C612FB">
        <w:lastRenderedPageBreak/>
        <w:t>značajnih miniranih površina šumskog zemljišta i nerazvijenoj finalnoj preradi drveta.</w:t>
      </w:r>
      <w:r w:rsidR="002628F2">
        <w:t xml:space="preserve"> </w:t>
      </w:r>
      <w:r w:rsidRPr="00C612FB">
        <w:t xml:space="preserve">Postojanje minskih polja u rejonu Majevice, predstavlja ograničavajući faktor u korištenju dijela </w:t>
      </w:r>
      <w:r w:rsidR="002628F2">
        <w:t>vr</w:t>
      </w:r>
      <w:r w:rsidRPr="00C612FB">
        <w:t>jednijih šumskih kompleksa na teritoriji općine.</w:t>
      </w:r>
      <w:r w:rsidR="002628F2">
        <w:t xml:space="preserve"> </w:t>
      </w:r>
    </w:p>
    <w:p w:rsidR="003A0A75" w:rsidRPr="00A01D01" w:rsidRDefault="00C612FB" w:rsidP="008A2A6D">
      <w:r w:rsidRPr="00C612FB">
        <w:t>Po</w:t>
      </w:r>
      <w:r w:rsidR="002628F2">
        <w:t>red</w:t>
      </w:r>
      <w:r w:rsidRPr="00C612FB">
        <w:t xml:space="preserve"> antropogenog faktora, kao uzroka ugroženosti šumskih ekosistema, neophodno je izdvojiti i</w:t>
      </w:r>
      <w:r w:rsidR="002628F2">
        <w:t xml:space="preserve"> </w:t>
      </w:r>
      <w:r w:rsidRPr="00C612FB">
        <w:t>ugroženost od biljnih bolesti, požara, globalnih klimatskih promjena, vjetrova, oluja, itd. U okviru</w:t>
      </w:r>
      <w:r w:rsidR="002628F2">
        <w:t xml:space="preserve"> </w:t>
      </w:r>
      <w:r w:rsidRPr="00C612FB">
        <w:t>redovnog gazdovanja šumama, vrši se planska zaštita šuma i šumskog zemljišta, od gore navedenih faktora, kroz izradu godišnjih planova zaštite.</w:t>
      </w:r>
      <w:r w:rsidR="002628F2" w:rsidRPr="002628F2">
        <w:t xml:space="preserve"> </w:t>
      </w:r>
      <w:r w:rsidR="002628F2" w:rsidRPr="00C612FB">
        <w:t>Uklanjanje minskih polja iz šumskih područja predstavlja jedan od prioriteta plana.</w:t>
      </w:r>
      <w:r w:rsidR="002628F2">
        <w:t xml:space="preserve"> </w:t>
      </w:r>
      <w:r w:rsidRPr="00C612FB">
        <w:t>U cilju maksimalnog korištenja sveukupnih potenci</w:t>
      </w:r>
      <w:r w:rsidR="002628F2">
        <w:t xml:space="preserve">jala šuma i šumskog zemljišta, </w:t>
      </w:r>
      <w:r w:rsidRPr="00C612FB">
        <w:t>predviđen je prelazak sa dosadašnjeg monofunkcionalnog na multifunkcionalno korištenje šuma i</w:t>
      </w:r>
      <w:r w:rsidR="00964F8F">
        <w:t xml:space="preserve"> </w:t>
      </w:r>
      <w:r w:rsidRPr="00C612FB">
        <w:t>šumskog zemljišta, gdje se podrazumijeva povećanje prihoda od korištenja sporednih šumskih</w:t>
      </w:r>
      <w:r w:rsidR="002628F2">
        <w:t xml:space="preserve"> proizvoda, lov</w:t>
      </w:r>
      <w:r w:rsidR="00092E44">
        <w:t>a i turizma.</w:t>
      </w:r>
      <w:bookmarkStart w:id="88" w:name="_Toc491379768"/>
    </w:p>
    <w:p w:rsidR="00D87226" w:rsidRPr="00D87226" w:rsidRDefault="001B4AA7" w:rsidP="00AD59CB">
      <w:pPr>
        <w:pStyle w:val="Heading3"/>
        <w:rPr>
          <w:i/>
          <w:lang w:val="hr-HR"/>
        </w:rPr>
      </w:pPr>
      <w:bookmarkStart w:id="89" w:name="_Toc500140039"/>
      <w:r>
        <w:rPr>
          <w:lang w:eastAsia="ar-SA"/>
        </w:rPr>
        <w:t xml:space="preserve">IV1.6. </w:t>
      </w:r>
      <w:r w:rsidR="00D87226" w:rsidRPr="00D87226">
        <w:rPr>
          <w:lang w:eastAsia="ar-SA"/>
        </w:rPr>
        <w:t>Procjena finansijskih sredstava za realizaciju projekata iz Strategije</w:t>
      </w:r>
      <w:bookmarkEnd w:id="88"/>
      <w:bookmarkEnd w:id="89"/>
    </w:p>
    <w:p w:rsidR="0022092D" w:rsidRPr="00575766" w:rsidRDefault="0022092D" w:rsidP="00AD59CB">
      <w:pPr>
        <w:pStyle w:val="Heading4"/>
        <w:rPr>
          <w:lang w:val="hr-HR"/>
        </w:rPr>
      </w:pPr>
      <w:bookmarkStart w:id="90" w:name="_Toc500140040"/>
      <w:r w:rsidRPr="00575766">
        <w:rPr>
          <w:lang w:val="hr-HR"/>
        </w:rPr>
        <w:t>Analiza prihoda</w:t>
      </w:r>
      <w:bookmarkEnd w:id="90"/>
    </w:p>
    <w:p w:rsidR="0022092D" w:rsidRPr="00FD71C8" w:rsidRDefault="0022092D" w:rsidP="008A2A6D">
      <w:pPr>
        <w:rPr>
          <w:lang w:val="hr-HR"/>
        </w:rPr>
      </w:pPr>
      <w:r w:rsidRPr="005F5DCD">
        <w:rPr>
          <w:lang w:val="hr-HR"/>
        </w:rPr>
        <w:t>Iznosi planiranih prihoda i primitaka budžeta Općine Kalesija temeljili su se na smjernicama i ciljevima fiskalne politike Općine Kalesija, koje su se dalje temeljile na srednjoročnim pro</w:t>
      </w:r>
      <w:r w:rsidR="003E4075">
        <w:rPr>
          <w:lang w:val="hr-HR"/>
        </w:rPr>
        <w:t xml:space="preserve">jekcijama </w:t>
      </w:r>
      <w:r w:rsidRPr="005F5DCD">
        <w:rPr>
          <w:lang w:val="hr-HR"/>
        </w:rPr>
        <w:t>Federalno</w:t>
      </w:r>
      <w:r w:rsidR="003E4075">
        <w:rPr>
          <w:lang w:val="hr-HR"/>
        </w:rPr>
        <w:t>g</w:t>
      </w:r>
      <w:r w:rsidRPr="005F5DCD">
        <w:rPr>
          <w:lang w:val="hr-HR"/>
        </w:rPr>
        <w:t xml:space="preserve"> ministarstv</w:t>
      </w:r>
      <w:r w:rsidR="003E4075">
        <w:rPr>
          <w:lang w:val="hr-HR"/>
        </w:rPr>
        <w:t>a</w:t>
      </w:r>
      <w:r w:rsidRPr="005F5DCD">
        <w:rPr>
          <w:lang w:val="hr-HR"/>
        </w:rPr>
        <w:t xml:space="preserve"> finansija</w:t>
      </w:r>
      <w:r w:rsidR="003E4075">
        <w:rPr>
          <w:lang w:val="hr-HR"/>
        </w:rPr>
        <w:t xml:space="preserve"> i</w:t>
      </w:r>
      <w:r w:rsidRPr="005F5DCD">
        <w:rPr>
          <w:lang w:val="hr-HR"/>
        </w:rPr>
        <w:t xml:space="preserve"> prognoza</w:t>
      </w:r>
      <w:r w:rsidR="003E4075">
        <w:rPr>
          <w:lang w:val="hr-HR"/>
        </w:rPr>
        <w:t>ma</w:t>
      </w:r>
      <w:r w:rsidRPr="005F5DCD">
        <w:rPr>
          <w:lang w:val="hr-HR"/>
        </w:rPr>
        <w:t xml:space="preserve"> makroekonomskih pokazatelja izrađenih od strane Dire</w:t>
      </w:r>
      <w:r>
        <w:rPr>
          <w:lang w:val="hr-HR"/>
        </w:rPr>
        <w:t>kcije za ekonomsko planiranje (</w:t>
      </w:r>
      <w:r w:rsidRPr="005F5DCD">
        <w:rPr>
          <w:lang w:val="hr-HR"/>
        </w:rPr>
        <w:t>DEP)</w:t>
      </w:r>
      <w:r w:rsidR="003E4075">
        <w:rPr>
          <w:lang w:val="hr-HR"/>
        </w:rPr>
        <w:t xml:space="preserve">. </w:t>
      </w:r>
      <w:r w:rsidRPr="005F5DCD">
        <w:rPr>
          <w:lang w:val="hr-HR"/>
        </w:rPr>
        <w:t>Projekcije prihoda i primitaka takođe su se zasnivale na</w:t>
      </w:r>
      <w:r w:rsidR="003E4075">
        <w:rPr>
          <w:lang w:val="hr-HR"/>
        </w:rPr>
        <w:t xml:space="preserve"> procjeni</w:t>
      </w:r>
      <w:r w:rsidRPr="005F5DCD">
        <w:rPr>
          <w:lang w:val="hr-HR"/>
        </w:rPr>
        <w:t xml:space="preserve"> uticaja svih aktuelnih procesa iz okruženja, sa aspekta mogućih implikacija na fiskalni kapacitet Općine Kalesija</w:t>
      </w:r>
    </w:p>
    <w:p w:rsidR="00680651" w:rsidRPr="00680651" w:rsidRDefault="00A40E58" w:rsidP="00362983">
      <w:pPr>
        <w:pStyle w:val="GrafiTabele"/>
        <w:rPr>
          <w:lang w:val="bs-Latn-BA"/>
        </w:rPr>
      </w:pPr>
      <w:r>
        <w:rPr>
          <w:noProof/>
          <w:lang w:val="bs-Latn-BA" w:eastAsia="bs-Latn-BA" w:bidi="ar-SA"/>
        </w:rPr>
        <w:drawing>
          <wp:inline distT="0" distB="0" distL="0" distR="0">
            <wp:extent cx="4768850" cy="1765300"/>
            <wp:effectExtent l="0" t="0" r="0" b="0"/>
            <wp:docPr id="49" name="Chart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22092D" w:rsidRPr="005F5DCD">
        <w:br w:type="textWrapping" w:clear="all"/>
      </w:r>
      <w:r w:rsidR="00680651" w:rsidRPr="00680651">
        <w:t xml:space="preserve">Grafikon </w:t>
      </w:r>
      <w:r w:rsidR="00F33E90">
        <w:t>19</w:t>
      </w:r>
      <w:r w:rsidR="00680651" w:rsidRPr="00680651">
        <w:t>:  Ostvareni prihodi općinskog budžeta u periodu 2012-2016. godina</w:t>
      </w:r>
    </w:p>
    <w:p w:rsidR="0022092D" w:rsidRPr="00680651" w:rsidRDefault="00BC7C4C" w:rsidP="00F33E90">
      <w:pPr>
        <w:pStyle w:val="Izvorpodataka"/>
        <w:rPr>
          <w:rStyle w:val="IzvorpodatakaChar"/>
          <w:i/>
        </w:rPr>
      </w:pPr>
      <w:r w:rsidRPr="00680651">
        <w:rPr>
          <w:rStyle w:val="IzvorpodatakaChar"/>
          <w:i/>
        </w:rPr>
        <w:t>Izvor:</w:t>
      </w:r>
      <w:r w:rsidR="000E6538" w:rsidRPr="00680651">
        <w:rPr>
          <w:rStyle w:val="IzvorpodatakaChar"/>
          <w:i/>
        </w:rPr>
        <w:t xml:space="preserve"> Općina Kalesija,</w:t>
      </w:r>
      <w:r w:rsidR="00680651">
        <w:rPr>
          <w:rStyle w:val="IzvorpodatakaChar"/>
          <w:i/>
        </w:rPr>
        <w:t xml:space="preserve"> </w:t>
      </w:r>
      <w:r w:rsidR="000E6538" w:rsidRPr="00680651">
        <w:rPr>
          <w:rStyle w:val="IzvorpodatakaChar"/>
          <w:i/>
        </w:rPr>
        <w:t>2017.</w:t>
      </w:r>
    </w:p>
    <w:p w:rsidR="004E1EB6" w:rsidRDefault="0022092D" w:rsidP="008A2A6D">
      <w:pPr>
        <w:rPr>
          <w:lang w:val="hr-HR"/>
        </w:rPr>
      </w:pPr>
      <w:r w:rsidRPr="005F5DCD">
        <w:rPr>
          <w:lang w:val="hr-HR"/>
        </w:rPr>
        <w:t xml:space="preserve">Ukupno ostvareni prihodi i primici u </w:t>
      </w:r>
      <w:r w:rsidR="003E4075">
        <w:rPr>
          <w:lang w:val="hr-HR"/>
        </w:rPr>
        <w:t xml:space="preserve">periodu 2012-2016. godina (grafikon </w:t>
      </w:r>
      <w:r w:rsidR="00F33E90">
        <w:rPr>
          <w:lang w:val="hr-HR"/>
        </w:rPr>
        <w:t>19</w:t>
      </w:r>
      <w:r w:rsidR="003E4075">
        <w:rPr>
          <w:lang w:val="hr-HR"/>
        </w:rPr>
        <w:t>)</w:t>
      </w:r>
      <w:r w:rsidRPr="005F5DCD">
        <w:rPr>
          <w:lang w:val="hr-HR"/>
        </w:rPr>
        <w:t xml:space="preserve"> </w:t>
      </w:r>
      <w:r w:rsidR="003E4075">
        <w:rPr>
          <w:lang w:val="hr-HR"/>
        </w:rPr>
        <w:t>imali su promjenjivu tendenciju.</w:t>
      </w:r>
      <w:r w:rsidRPr="005F5DCD">
        <w:rPr>
          <w:lang w:val="hr-HR"/>
        </w:rPr>
        <w:t xml:space="preserve"> U 2013.</w:t>
      </w:r>
      <w:r w:rsidR="003E4075">
        <w:rPr>
          <w:lang w:val="hr-HR"/>
        </w:rPr>
        <w:t xml:space="preserve"> </w:t>
      </w:r>
      <w:r w:rsidRPr="005F5DCD">
        <w:rPr>
          <w:lang w:val="hr-HR"/>
        </w:rPr>
        <w:t>godin</w:t>
      </w:r>
      <w:r>
        <w:rPr>
          <w:lang w:val="hr-HR"/>
        </w:rPr>
        <w:t>i</w:t>
      </w:r>
      <w:r w:rsidRPr="005F5DCD">
        <w:rPr>
          <w:lang w:val="hr-HR"/>
        </w:rPr>
        <w:t xml:space="preserve"> primjetan je pad prihoda u odnosu na 2012.</w:t>
      </w:r>
      <w:r w:rsidR="003E4075">
        <w:rPr>
          <w:lang w:val="hr-HR"/>
        </w:rPr>
        <w:t xml:space="preserve"> </w:t>
      </w:r>
      <w:r w:rsidRPr="005F5DCD">
        <w:rPr>
          <w:lang w:val="hr-HR"/>
        </w:rPr>
        <w:t xml:space="preserve">godinu, </w:t>
      </w:r>
      <w:r w:rsidR="003E4075">
        <w:rPr>
          <w:lang w:val="hr-HR"/>
        </w:rPr>
        <w:t>a od</w:t>
      </w:r>
      <w:r w:rsidRPr="005F5DCD">
        <w:rPr>
          <w:lang w:val="hr-HR"/>
        </w:rPr>
        <w:t xml:space="preserve"> 2014.</w:t>
      </w:r>
      <w:r w:rsidR="003E4075">
        <w:rPr>
          <w:lang w:val="hr-HR"/>
        </w:rPr>
        <w:t xml:space="preserve"> g</w:t>
      </w:r>
      <w:r w:rsidRPr="005F5DCD">
        <w:rPr>
          <w:lang w:val="hr-HR"/>
        </w:rPr>
        <w:t>odin</w:t>
      </w:r>
      <w:r w:rsidR="003E4075">
        <w:rPr>
          <w:lang w:val="hr-HR"/>
        </w:rPr>
        <w:t xml:space="preserve">e </w:t>
      </w:r>
      <w:r w:rsidRPr="005F5DCD">
        <w:rPr>
          <w:lang w:val="hr-HR"/>
        </w:rPr>
        <w:t xml:space="preserve">primjetan je </w:t>
      </w:r>
      <w:r w:rsidR="003E4075">
        <w:rPr>
          <w:lang w:val="hr-HR"/>
        </w:rPr>
        <w:t xml:space="preserve">lagani </w:t>
      </w:r>
      <w:r w:rsidRPr="005F5DCD">
        <w:rPr>
          <w:lang w:val="hr-HR"/>
        </w:rPr>
        <w:t xml:space="preserve">rast prihoda </w:t>
      </w:r>
      <w:r w:rsidR="003E4075">
        <w:rPr>
          <w:lang w:val="hr-HR"/>
        </w:rPr>
        <w:t>sa određenim fluktuacijama, zahvaljujući s</w:t>
      </w:r>
      <w:r w:rsidRPr="005F5DCD">
        <w:rPr>
          <w:lang w:val="hr-HR"/>
        </w:rPr>
        <w:t>tabilizacij</w:t>
      </w:r>
      <w:r w:rsidR="003E4075">
        <w:rPr>
          <w:lang w:val="hr-HR"/>
        </w:rPr>
        <w:t>i</w:t>
      </w:r>
      <w:r w:rsidRPr="005F5DCD">
        <w:rPr>
          <w:lang w:val="hr-HR"/>
        </w:rPr>
        <w:t xml:space="preserve"> privrednih i finansijskih kretanja</w:t>
      </w:r>
      <w:r w:rsidR="003E4075">
        <w:rPr>
          <w:lang w:val="hr-HR"/>
        </w:rPr>
        <w:t xml:space="preserve"> u općini</w:t>
      </w:r>
      <w:r w:rsidRPr="005F5DCD">
        <w:rPr>
          <w:lang w:val="hr-HR"/>
        </w:rPr>
        <w:t xml:space="preserve">. </w:t>
      </w:r>
    </w:p>
    <w:p w:rsidR="003E4075" w:rsidRDefault="003E4075" w:rsidP="008A2A6D">
      <w:pPr>
        <w:rPr>
          <w:lang w:val="hr-HR"/>
        </w:rPr>
      </w:pPr>
      <w:r w:rsidRPr="005F5DCD">
        <w:rPr>
          <w:lang w:val="hr-HR"/>
        </w:rPr>
        <w:t xml:space="preserve">Struktura prihoda se mijenjala iz godine u godinu tako da su </w:t>
      </w:r>
      <w:r>
        <w:rPr>
          <w:lang w:val="hr-HR"/>
        </w:rPr>
        <w:t>u</w:t>
      </w:r>
      <w:r w:rsidRPr="005F5DCD">
        <w:rPr>
          <w:lang w:val="hr-HR"/>
        </w:rPr>
        <w:t xml:space="preserve"> 2012.</w:t>
      </w:r>
      <w:r>
        <w:rPr>
          <w:lang w:val="hr-HR"/>
        </w:rPr>
        <w:t xml:space="preserve"> godini </w:t>
      </w:r>
      <w:r w:rsidRPr="005F5DCD">
        <w:rPr>
          <w:lang w:val="hr-HR"/>
        </w:rPr>
        <w:t>porezni prihodi činili 49% ukupnih prihoda, neporezni prihodi 14%, grantovi i potpore 6%, kapitalni primici 16% i prenesena sredstva 15%</w:t>
      </w:r>
      <w:r w:rsidR="00F33E90">
        <w:rPr>
          <w:lang w:val="hr-HR"/>
        </w:rPr>
        <w:t xml:space="preserve"> (grafikon 20)</w:t>
      </w:r>
      <w:r w:rsidRPr="005F5DCD">
        <w:rPr>
          <w:lang w:val="hr-HR"/>
        </w:rPr>
        <w:t xml:space="preserve">. </w:t>
      </w:r>
      <w:r w:rsidR="00F33E90">
        <w:rPr>
          <w:lang w:val="hr-HR"/>
        </w:rPr>
        <w:t xml:space="preserve">U 2016. godini </w:t>
      </w:r>
      <w:r w:rsidRPr="005F5DCD">
        <w:rPr>
          <w:lang w:val="hr-HR"/>
        </w:rPr>
        <w:t>struktura prihoda se promjenila i porezni prihodi povećavaju udio u ukupnim prihodima na 56%, neporezni prihodi povećavaju udio na 17%, gran</w:t>
      </w:r>
      <w:r>
        <w:rPr>
          <w:lang w:val="hr-HR"/>
        </w:rPr>
        <w:t>tovi i potpore smanjuju udio na</w:t>
      </w:r>
      <w:r w:rsidRPr="005F5DCD">
        <w:rPr>
          <w:lang w:val="hr-HR"/>
        </w:rPr>
        <w:t xml:space="preserve"> 3%, kapitalni primici smanjuju udio u ukupnim prihodima na 1%</w:t>
      </w:r>
      <w:r>
        <w:rPr>
          <w:lang w:val="hr-HR"/>
        </w:rPr>
        <w:t xml:space="preserve"> (uglavnom </w:t>
      </w:r>
      <w:r>
        <w:t>zbog toga što nije bilo aktivnosti vezano za prodaju imovine)</w:t>
      </w:r>
      <w:r w:rsidRPr="005F5DCD">
        <w:rPr>
          <w:lang w:val="hr-HR"/>
        </w:rPr>
        <w:t>, a prenesena sredstva povećavaju u</w:t>
      </w:r>
      <w:r>
        <w:rPr>
          <w:lang w:val="hr-HR"/>
        </w:rPr>
        <w:t>dio u ukupnim prihodima na 23%</w:t>
      </w:r>
      <w:r w:rsidR="00F33E90">
        <w:rPr>
          <w:lang w:val="hr-HR"/>
        </w:rPr>
        <w:t xml:space="preserve"> (grafikon 21)</w:t>
      </w:r>
      <w:r>
        <w:rPr>
          <w:lang w:val="hr-HR"/>
        </w:rPr>
        <w:t>.</w:t>
      </w:r>
    </w:p>
    <w:p w:rsidR="0022092D" w:rsidRPr="005F5DCD" w:rsidRDefault="0022092D" w:rsidP="00362983">
      <w:pPr>
        <w:pStyle w:val="Pitcures"/>
        <w:rPr>
          <w:lang w:val="hr-HR"/>
        </w:rPr>
      </w:pPr>
      <w:r w:rsidRPr="005F5DCD">
        <w:lastRenderedPageBreak/>
        <w:drawing>
          <wp:inline distT="0" distB="0" distL="0" distR="0">
            <wp:extent cx="4265295" cy="1828800"/>
            <wp:effectExtent l="0" t="0" r="1905" b="0"/>
            <wp:docPr id="20" name="Char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E4075" w:rsidRPr="00426338" w:rsidRDefault="003E4075" w:rsidP="00F33E90">
      <w:pPr>
        <w:pStyle w:val="GrafiTabele"/>
      </w:pPr>
      <w:r w:rsidRPr="00426338">
        <w:t xml:space="preserve">Grafikon </w:t>
      </w:r>
      <w:r w:rsidR="00F33E90">
        <w:t>20</w:t>
      </w:r>
      <w:r w:rsidRPr="00426338">
        <w:t>:  Struktura prihoda 2012.g.</w:t>
      </w:r>
    </w:p>
    <w:p w:rsidR="00362983" w:rsidRPr="008A2A6D" w:rsidRDefault="00BC7C4C" w:rsidP="008A2A6D">
      <w:pPr>
        <w:pStyle w:val="Izvorpodataka"/>
      </w:pPr>
      <w:r w:rsidRPr="003E4075">
        <w:t>Izvor:</w:t>
      </w:r>
      <w:r w:rsidR="000E6538" w:rsidRPr="003E4075">
        <w:t xml:space="preserve"> Općina Kalesija,</w:t>
      </w:r>
      <w:r w:rsidR="00F33E90">
        <w:t xml:space="preserve"> </w:t>
      </w:r>
      <w:r w:rsidR="000E6538" w:rsidRPr="003E4075">
        <w:t>2017.</w:t>
      </w:r>
    </w:p>
    <w:p w:rsidR="0022092D" w:rsidRPr="005F5DCD" w:rsidRDefault="0022092D" w:rsidP="00362983">
      <w:pPr>
        <w:pStyle w:val="Pitcures"/>
        <w:rPr>
          <w:lang w:val="en-GB"/>
        </w:rPr>
      </w:pPr>
      <w:r w:rsidRPr="005F5DCD">
        <w:drawing>
          <wp:inline distT="0" distB="0" distL="0" distR="0">
            <wp:extent cx="4286250" cy="1627129"/>
            <wp:effectExtent l="0" t="0" r="19050" b="11430"/>
            <wp:docPr id="21" name="Char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E4075" w:rsidRPr="00575766" w:rsidRDefault="003E4075" w:rsidP="00F33E90">
      <w:pPr>
        <w:pStyle w:val="GrafiTabele"/>
      </w:pPr>
      <w:r w:rsidRPr="00426338">
        <w:t xml:space="preserve">Grafikon </w:t>
      </w:r>
      <w:r w:rsidR="00F33E90">
        <w:t>21</w:t>
      </w:r>
      <w:r w:rsidRPr="00426338">
        <w:t>:</w:t>
      </w:r>
      <w:r>
        <w:t xml:space="preserve">   Struktura prihoda 2016.g.</w:t>
      </w:r>
    </w:p>
    <w:p w:rsidR="003E4075" w:rsidRDefault="00BC7C4C" w:rsidP="00092E44">
      <w:pPr>
        <w:pStyle w:val="Izvorpodataka"/>
      </w:pPr>
      <w:r w:rsidRPr="003E4075">
        <w:t>Izvor:</w:t>
      </w:r>
      <w:r w:rsidR="000E6538" w:rsidRPr="003E4075">
        <w:t xml:space="preserve"> Općina Kalesija,</w:t>
      </w:r>
      <w:r w:rsidR="003E4075">
        <w:t xml:space="preserve"> </w:t>
      </w:r>
      <w:r w:rsidR="000E6538" w:rsidRPr="003E4075">
        <w:t>2017.</w:t>
      </w:r>
    </w:p>
    <w:p w:rsidR="0022092D" w:rsidRPr="00575766" w:rsidRDefault="0022092D" w:rsidP="00AD59CB">
      <w:pPr>
        <w:pStyle w:val="Heading4"/>
        <w:rPr>
          <w:lang w:val="hr-HR"/>
        </w:rPr>
      </w:pPr>
      <w:bookmarkStart w:id="91" w:name="_Toc500140041"/>
      <w:r w:rsidRPr="00575766">
        <w:rPr>
          <w:lang w:val="hr-HR"/>
        </w:rPr>
        <w:t>Analiza rashoda</w:t>
      </w:r>
      <w:bookmarkEnd w:id="91"/>
    </w:p>
    <w:p w:rsidR="0022092D" w:rsidRPr="005F5DCD" w:rsidRDefault="0022092D" w:rsidP="008A2A6D">
      <w:pPr>
        <w:rPr>
          <w:lang w:val="hr-HR"/>
        </w:rPr>
      </w:pPr>
      <w:r w:rsidRPr="005F5DCD">
        <w:rPr>
          <w:lang w:val="hr-HR"/>
        </w:rPr>
        <w:t>Ukupni rahodi i izdaci u budžet</w:t>
      </w:r>
      <w:r w:rsidR="007E4D89">
        <w:rPr>
          <w:lang w:val="hr-HR"/>
        </w:rPr>
        <w:t>u</w:t>
      </w:r>
      <w:r w:rsidRPr="005F5DCD">
        <w:rPr>
          <w:lang w:val="hr-HR"/>
        </w:rPr>
        <w:t xml:space="preserve"> Općine Kalesija </w:t>
      </w:r>
      <w:r w:rsidR="007E4D89">
        <w:rPr>
          <w:lang w:val="hr-HR"/>
        </w:rPr>
        <w:t xml:space="preserve">u periodu 2012-2016. godina </w:t>
      </w:r>
      <w:r w:rsidRPr="005F5DCD">
        <w:rPr>
          <w:lang w:val="hr-HR"/>
        </w:rPr>
        <w:t>kretali su se u okviru dopustivih, odnosno realizovanih prihoda i primitaka</w:t>
      </w:r>
      <w:r w:rsidR="007E4D89">
        <w:rPr>
          <w:lang w:val="hr-HR"/>
        </w:rPr>
        <w:t>, i pratili su trend kretanja prihoda</w:t>
      </w:r>
      <w:r w:rsidR="00F33E90">
        <w:rPr>
          <w:lang w:val="hr-HR"/>
        </w:rPr>
        <w:t xml:space="preserve"> (grafikon 22)</w:t>
      </w:r>
      <w:r w:rsidRPr="005F5DCD">
        <w:rPr>
          <w:lang w:val="hr-HR"/>
        </w:rPr>
        <w:t>.</w:t>
      </w:r>
    </w:p>
    <w:p w:rsidR="0022092D" w:rsidRPr="005F5DCD" w:rsidRDefault="0022092D" w:rsidP="00362983">
      <w:pPr>
        <w:pStyle w:val="Pitcures"/>
        <w:rPr>
          <w:lang w:val="hr-HR"/>
        </w:rPr>
      </w:pPr>
      <w:r w:rsidRPr="005F5DCD">
        <w:drawing>
          <wp:inline distT="0" distB="0" distL="0" distR="0">
            <wp:extent cx="4914900" cy="1909445"/>
            <wp:effectExtent l="0" t="0" r="0" b="14605"/>
            <wp:docPr id="22"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E4D89" w:rsidRPr="00426338" w:rsidRDefault="007E4D89" w:rsidP="00F33E90">
      <w:pPr>
        <w:pStyle w:val="GrafiTabele"/>
      </w:pPr>
      <w:r w:rsidRPr="00426338">
        <w:t xml:space="preserve">Grafikon </w:t>
      </w:r>
      <w:r w:rsidR="00F33E90">
        <w:t>22</w:t>
      </w:r>
      <w:r w:rsidRPr="00426338">
        <w:t>:  Ostvareni rashodi Općine Kalesija</w:t>
      </w:r>
      <w:r w:rsidR="00F33E90">
        <w:t xml:space="preserve"> u periodu 2012-2016.</w:t>
      </w:r>
    </w:p>
    <w:p w:rsidR="0022092D" w:rsidRPr="007E4D89" w:rsidRDefault="00BC7C4C" w:rsidP="00F33E90">
      <w:pPr>
        <w:pStyle w:val="Izvorpodataka"/>
      </w:pPr>
      <w:r w:rsidRPr="007E4D89">
        <w:t>Izvor:</w:t>
      </w:r>
      <w:r w:rsidR="00F33E90">
        <w:t xml:space="preserve"> Općina Kalesija</w:t>
      </w:r>
    </w:p>
    <w:p w:rsidR="00362983" w:rsidRPr="001C365F" w:rsidRDefault="007E4D89" w:rsidP="001C365F">
      <w:pPr>
        <w:rPr>
          <w:lang w:val="hr-HR"/>
        </w:rPr>
      </w:pPr>
      <w:r>
        <w:rPr>
          <w:lang w:val="hr-HR"/>
        </w:rPr>
        <w:t>U strukturi</w:t>
      </w:r>
      <w:r w:rsidRPr="005F5DCD">
        <w:rPr>
          <w:lang w:val="hr-HR"/>
        </w:rPr>
        <w:t xml:space="preserve"> rashoda Općine Kalesija za 2012.</w:t>
      </w:r>
      <w:r>
        <w:rPr>
          <w:lang w:val="hr-HR"/>
        </w:rPr>
        <w:t xml:space="preserve"> </w:t>
      </w:r>
      <w:r w:rsidRPr="005F5DCD">
        <w:rPr>
          <w:lang w:val="hr-HR"/>
        </w:rPr>
        <w:t xml:space="preserve">godinu najveća stavka </w:t>
      </w:r>
      <w:r>
        <w:rPr>
          <w:lang w:val="hr-HR"/>
        </w:rPr>
        <w:t xml:space="preserve">bile </w:t>
      </w:r>
      <w:r w:rsidRPr="005F5DCD">
        <w:rPr>
          <w:lang w:val="hr-HR"/>
        </w:rPr>
        <w:t xml:space="preserve">su </w:t>
      </w:r>
      <w:r>
        <w:rPr>
          <w:lang w:val="hr-HR"/>
        </w:rPr>
        <w:t>plate i naknade, koje su činile</w:t>
      </w:r>
      <w:r w:rsidRPr="005F5DCD">
        <w:rPr>
          <w:lang w:val="hr-HR"/>
        </w:rPr>
        <w:t xml:space="preserve"> 2</w:t>
      </w:r>
      <w:r>
        <w:rPr>
          <w:lang w:val="hr-HR"/>
        </w:rPr>
        <w:t>5</w:t>
      </w:r>
      <w:r w:rsidRPr="005F5DCD">
        <w:rPr>
          <w:lang w:val="hr-HR"/>
        </w:rPr>
        <w:t>% ukupnih rashoda i iz</w:t>
      </w:r>
      <w:r>
        <w:rPr>
          <w:lang w:val="hr-HR"/>
        </w:rPr>
        <w:t>dataka, kapitalni transferi činili su</w:t>
      </w:r>
      <w:r w:rsidRPr="005F5DCD">
        <w:rPr>
          <w:lang w:val="hr-HR"/>
        </w:rPr>
        <w:t xml:space="preserve"> 18%, izdaci za materijal i usluge i tekući transferi u ukupnim rashodima učestvuju sa po 17% i kapitalni transferi učestvuju sa 22%</w:t>
      </w:r>
      <w:r w:rsidR="00F33E90">
        <w:rPr>
          <w:lang w:val="hr-HR"/>
        </w:rPr>
        <w:t xml:space="preserve"> (grafikon 23)</w:t>
      </w:r>
      <w:r w:rsidRPr="005F5DCD">
        <w:rPr>
          <w:lang w:val="hr-HR"/>
        </w:rPr>
        <w:t>. Općina Kalesija nije imala zaduženja po osnovu kredita tako da nije imala izdataka te vrste. U 2016.godini struktura rashoda i izdataka se prom</w:t>
      </w:r>
      <w:r>
        <w:rPr>
          <w:lang w:val="hr-HR"/>
        </w:rPr>
        <w:t>i</w:t>
      </w:r>
      <w:r w:rsidRPr="005F5DCD">
        <w:rPr>
          <w:lang w:val="hr-HR"/>
        </w:rPr>
        <w:t>jenila</w:t>
      </w:r>
      <w:r>
        <w:rPr>
          <w:lang w:val="hr-HR"/>
        </w:rPr>
        <w:t xml:space="preserve"> </w:t>
      </w:r>
      <w:r w:rsidRPr="005F5DCD">
        <w:rPr>
          <w:lang w:val="hr-HR"/>
        </w:rPr>
        <w:t>tako da plate i naknade učestvu</w:t>
      </w:r>
      <w:r>
        <w:rPr>
          <w:lang w:val="hr-HR"/>
        </w:rPr>
        <w:t xml:space="preserve">ju u ukupnim </w:t>
      </w:r>
      <w:r>
        <w:rPr>
          <w:lang w:val="hr-HR"/>
        </w:rPr>
        <w:lastRenderedPageBreak/>
        <w:t>rashodima i izdaci</w:t>
      </w:r>
      <w:r w:rsidRPr="005F5DCD">
        <w:rPr>
          <w:lang w:val="hr-HR"/>
        </w:rPr>
        <w:t>ma sa 33%, materijal i usluge sa 23%, tekući transferi sa 22%, kapitalni transferi sa 15% i kapitalni izdaci sa 7%</w:t>
      </w:r>
      <w:r w:rsidR="00F33E90">
        <w:rPr>
          <w:lang w:val="hr-HR"/>
        </w:rPr>
        <w:t xml:space="preserve"> (grafikon 24)</w:t>
      </w:r>
      <w:r w:rsidRPr="005F5DCD">
        <w:rPr>
          <w:lang w:val="hr-HR"/>
        </w:rPr>
        <w:t>.</w:t>
      </w:r>
    </w:p>
    <w:p w:rsidR="0022092D" w:rsidRPr="005F5DCD" w:rsidRDefault="0022092D" w:rsidP="00362983">
      <w:pPr>
        <w:pStyle w:val="Pitcures"/>
        <w:rPr>
          <w:lang w:val="hr-HR"/>
        </w:rPr>
      </w:pPr>
      <w:r w:rsidRPr="005F5DCD">
        <w:drawing>
          <wp:inline distT="0" distB="0" distL="0" distR="0">
            <wp:extent cx="4471328" cy="1857375"/>
            <wp:effectExtent l="0" t="0" r="5715" b="9525"/>
            <wp:docPr id="23" name="Char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E4D89" w:rsidRPr="00426338" w:rsidRDefault="007E4D89" w:rsidP="00F33E90">
      <w:pPr>
        <w:pStyle w:val="GrafiTabele"/>
      </w:pPr>
      <w:r w:rsidRPr="00426338">
        <w:t xml:space="preserve">Grafikon </w:t>
      </w:r>
      <w:r w:rsidR="00F33E90">
        <w:t>23</w:t>
      </w:r>
      <w:r w:rsidRPr="00426338">
        <w:t>: Struktura rashoda u 2012.</w:t>
      </w:r>
    </w:p>
    <w:p w:rsidR="0022092D" w:rsidRPr="007E4D89" w:rsidRDefault="00BC7C4C" w:rsidP="00F33E90">
      <w:pPr>
        <w:pStyle w:val="Izvorpodataka"/>
      </w:pPr>
      <w:r w:rsidRPr="007E4D89">
        <w:t>Izvor:</w:t>
      </w:r>
      <w:r w:rsidR="008C3C1E" w:rsidRPr="007E4D89">
        <w:t xml:space="preserve"> </w:t>
      </w:r>
      <w:r w:rsidR="00F33E90">
        <w:t>Općina Kalesija</w:t>
      </w:r>
    </w:p>
    <w:p w:rsidR="0022092D" w:rsidRPr="005F5DCD" w:rsidRDefault="0022092D" w:rsidP="00F33E90">
      <w:pPr>
        <w:jc w:val="center"/>
        <w:rPr>
          <w:rFonts w:eastAsia="Times New Roman"/>
          <w:szCs w:val="24"/>
          <w:lang w:val="hr-HR"/>
        </w:rPr>
      </w:pPr>
      <w:r w:rsidRPr="005F5DCD">
        <w:rPr>
          <w:rFonts w:eastAsia="Times New Roman"/>
          <w:noProof/>
          <w:szCs w:val="24"/>
          <w:lang w:eastAsia="bs-Latn-BA"/>
        </w:rPr>
        <w:drawing>
          <wp:inline distT="0" distB="0" distL="0" distR="0">
            <wp:extent cx="4101465" cy="1916818"/>
            <wp:effectExtent l="0" t="0" r="13335" b="7620"/>
            <wp:docPr id="24" name="Char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E4D89" w:rsidRPr="00426338" w:rsidRDefault="007E4D89" w:rsidP="00F33E90">
      <w:pPr>
        <w:pStyle w:val="GrafiTabele"/>
      </w:pPr>
      <w:r w:rsidRPr="00426338">
        <w:t xml:space="preserve">Grafikon </w:t>
      </w:r>
      <w:r w:rsidR="00F33E90">
        <w:t>24:  Struktura rashoda 2016.</w:t>
      </w:r>
    </w:p>
    <w:p w:rsidR="00FF674B" w:rsidRDefault="00BC7C4C" w:rsidP="00092E44">
      <w:pPr>
        <w:pStyle w:val="Izvorpodataka"/>
      </w:pPr>
      <w:r w:rsidRPr="007E4D89">
        <w:t>Izvor:</w:t>
      </w:r>
      <w:r w:rsidR="00F33E90">
        <w:t xml:space="preserve"> Općina Kalesija</w:t>
      </w:r>
    </w:p>
    <w:p w:rsidR="00FF674B" w:rsidRDefault="00FF674B" w:rsidP="00AD59CB">
      <w:pPr>
        <w:pStyle w:val="Heading4"/>
        <w:rPr>
          <w:lang w:val="hr-HR"/>
        </w:rPr>
      </w:pPr>
      <w:bookmarkStart w:id="92" w:name="_Toc500140042"/>
      <w:r>
        <w:rPr>
          <w:lang w:val="hr-HR"/>
        </w:rPr>
        <w:t>Analiza prihoda i rashoda u periodu 2012-2016. godina</w:t>
      </w:r>
      <w:bookmarkEnd w:id="92"/>
    </w:p>
    <w:p w:rsidR="008F49CE" w:rsidRPr="00FD71C8" w:rsidRDefault="006F0128" w:rsidP="008A2A6D">
      <w:pPr>
        <w:rPr>
          <w:lang w:val="hr-HR"/>
        </w:rPr>
      </w:pPr>
      <w:r>
        <w:rPr>
          <w:lang w:val="hr-HR"/>
        </w:rPr>
        <w:t>Analiza</w:t>
      </w:r>
      <w:r w:rsidR="008F49CE">
        <w:rPr>
          <w:lang w:val="hr-HR"/>
        </w:rPr>
        <w:t xml:space="preserve"> prihoda i primitaka</w:t>
      </w:r>
      <w:r w:rsidR="008F49CE" w:rsidRPr="008F49CE">
        <w:rPr>
          <w:lang w:val="hr-HR"/>
        </w:rPr>
        <w:t xml:space="preserve"> i rashoda i izdataka </w:t>
      </w:r>
      <w:r w:rsidRPr="008F49CE">
        <w:rPr>
          <w:lang w:val="hr-HR"/>
        </w:rPr>
        <w:t>Općine Kalesija</w:t>
      </w:r>
      <w:r>
        <w:rPr>
          <w:lang w:val="hr-HR"/>
        </w:rPr>
        <w:t>,</w:t>
      </w:r>
      <w:r w:rsidRPr="008F49CE">
        <w:rPr>
          <w:lang w:val="hr-HR"/>
        </w:rPr>
        <w:t xml:space="preserve"> odnosno pokriće </w:t>
      </w:r>
      <w:r w:rsidRPr="00876DEB">
        <w:rPr>
          <w:lang w:val="hr-HR"/>
        </w:rPr>
        <w:t xml:space="preserve">rashoda prihodima </w:t>
      </w:r>
      <w:r w:rsidR="008F49CE" w:rsidRPr="00876DEB">
        <w:rPr>
          <w:lang w:val="hr-HR"/>
        </w:rPr>
        <w:t xml:space="preserve">u </w:t>
      </w:r>
      <w:r w:rsidRPr="00876DEB">
        <w:rPr>
          <w:lang w:val="hr-HR"/>
        </w:rPr>
        <w:t xml:space="preserve">periodu 2012.-2016. godina (grafikon </w:t>
      </w:r>
      <w:r w:rsidR="00876DEB" w:rsidRPr="00876DEB">
        <w:rPr>
          <w:lang w:val="hr-HR"/>
        </w:rPr>
        <w:t>25</w:t>
      </w:r>
      <w:r w:rsidRPr="00876DEB">
        <w:rPr>
          <w:lang w:val="hr-HR"/>
        </w:rPr>
        <w:t>), pokazuje da je u</w:t>
      </w:r>
      <w:r w:rsidR="008F49CE" w:rsidRPr="00876DEB">
        <w:rPr>
          <w:lang w:val="hr-HR"/>
        </w:rPr>
        <w:t xml:space="preserve"> svim</w:t>
      </w:r>
      <w:r w:rsidR="008F49CE" w:rsidRPr="008F49CE">
        <w:rPr>
          <w:lang w:val="hr-HR"/>
        </w:rPr>
        <w:t xml:space="preserve"> godinama ostvaren suficit. Prihodi i rashodi imali su sličan trend kretanja što je rezultiralo pozitivnom poslovnom rezultatu u godinama koje se posmatraju. Budžet se izvršavao u 2012</w:t>
      </w:r>
      <w:r>
        <w:rPr>
          <w:lang w:val="hr-HR"/>
        </w:rPr>
        <w:t xml:space="preserve">. i 2013. godini sa cca 95%, a u </w:t>
      </w:r>
      <w:r w:rsidR="008F49CE" w:rsidRPr="008F49CE">
        <w:rPr>
          <w:lang w:val="hr-HR"/>
        </w:rPr>
        <w:t>2014</w:t>
      </w:r>
      <w:r>
        <w:rPr>
          <w:lang w:val="hr-HR"/>
        </w:rPr>
        <w:t>. i 2015. godini sa preko 100%</w:t>
      </w:r>
      <w:r w:rsidR="008F49CE" w:rsidRPr="008F49CE">
        <w:rPr>
          <w:lang w:val="hr-HR"/>
        </w:rPr>
        <w:t xml:space="preserve">. </w:t>
      </w:r>
    </w:p>
    <w:p w:rsidR="0022092D" w:rsidRPr="005F5DCD" w:rsidRDefault="0022092D" w:rsidP="00362983">
      <w:pPr>
        <w:pStyle w:val="Pitcures"/>
        <w:rPr>
          <w:lang w:val="hr-HR"/>
        </w:rPr>
      </w:pPr>
      <w:r w:rsidRPr="00362983">
        <w:drawing>
          <wp:inline distT="0" distB="0" distL="0" distR="0">
            <wp:extent cx="5001292" cy="1666875"/>
            <wp:effectExtent l="0" t="0" r="8890" b="9525"/>
            <wp:docPr id="25" name="Char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F674B" w:rsidRPr="00426338" w:rsidRDefault="00FF674B" w:rsidP="00F33E90">
      <w:pPr>
        <w:pStyle w:val="GrafiTabele"/>
      </w:pPr>
      <w:r w:rsidRPr="00426338">
        <w:t xml:space="preserve">Grafikon </w:t>
      </w:r>
      <w:r w:rsidR="00F33E90">
        <w:t>25</w:t>
      </w:r>
      <w:r w:rsidRPr="00426338">
        <w:t>: Prihodi i primici i rashodi i izdaci Općine Kalesija</w:t>
      </w:r>
      <w:r w:rsidR="00876DEB">
        <w:t xml:space="preserve"> u periodu 2012-2016.</w:t>
      </w:r>
    </w:p>
    <w:p w:rsidR="0022092D" w:rsidRDefault="00BC7C4C" w:rsidP="00F33E90">
      <w:pPr>
        <w:pStyle w:val="Izvorpodataka"/>
      </w:pPr>
      <w:r w:rsidRPr="00FF674B">
        <w:lastRenderedPageBreak/>
        <w:t>Izvor:</w:t>
      </w:r>
      <w:r w:rsidR="00814A86" w:rsidRPr="00FF674B">
        <w:t xml:space="preserve"> Općina Kalesija,</w:t>
      </w:r>
      <w:r w:rsidR="00FF674B">
        <w:t xml:space="preserve"> </w:t>
      </w:r>
      <w:r w:rsidR="00814A86" w:rsidRPr="00FF674B">
        <w:t>2017.</w:t>
      </w:r>
    </w:p>
    <w:p w:rsidR="00AD59CB" w:rsidRDefault="00AD59CB" w:rsidP="001C365F">
      <w:pPr>
        <w:rPr>
          <w:lang w:val="hr-HR"/>
        </w:rPr>
      </w:pPr>
      <w:r>
        <w:rPr>
          <w:lang w:val="hr-HR"/>
        </w:rPr>
        <w:t>Finansijski pokazatelji o izvršenju budžeta Općine Kalesija, za period 2012-2016. godina, ukazuju na to da su kapitalni izdaci predstavljali relativno nizak udio budžeta, odnosno da je procenat izvršenja kapitalnih izdataka bio nizak. To je bilo posebno izraženo u 2013., 2014. i 2015. godini, kada je procenat izvršenja bio ispod 50%</w:t>
      </w:r>
      <w:r w:rsidR="006E3E0A">
        <w:rPr>
          <w:lang w:val="hr-HR"/>
        </w:rPr>
        <w:t xml:space="preserve"> (tabela 16)</w:t>
      </w:r>
      <w:r>
        <w:rPr>
          <w:lang w:val="hr-HR"/>
        </w:rPr>
        <w:t xml:space="preserve">. </w:t>
      </w:r>
    </w:p>
    <w:p w:rsidR="0022092D" w:rsidRPr="00662044" w:rsidRDefault="0022092D" w:rsidP="00AD59CB">
      <w:pPr>
        <w:pStyle w:val="GrafiTabele"/>
      </w:pPr>
      <w:r w:rsidRPr="00662044">
        <w:t>Tabela</w:t>
      </w:r>
      <w:r w:rsidR="00AD5B08">
        <w:t xml:space="preserve"> </w:t>
      </w:r>
      <w:r w:rsidR="006E3E0A">
        <w:t>1</w:t>
      </w:r>
      <w:r w:rsidR="00AD5B08">
        <w:t>6</w:t>
      </w:r>
      <w:r w:rsidR="00662044" w:rsidRPr="00662044">
        <w:t>:</w:t>
      </w:r>
      <w:r w:rsidR="00662044">
        <w:t xml:space="preserve"> </w:t>
      </w:r>
      <w:r w:rsidRPr="00662044">
        <w:t xml:space="preserve">Finansijski pokazatelji kroz izvršenje budžeta Općine </w:t>
      </w:r>
      <w:r w:rsidR="006E3E0A">
        <w:t>Kalesija za period 2012-</w:t>
      </w:r>
      <w:r w:rsidR="00A95A2B">
        <w:t>2016.</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559"/>
        <w:gridCol w:w="1559"/>
        <w:gridCol w:w="1560"/>
        <w:gridCol w:w="1559"/>
        <w:gridCol w:w="1559"/>
      </w:tblGrid>
      <w:tr w:rsidR="0022092D" w:rsidRPr="006F0128" w:rsidTr="008C3C1E">
        <w:tc>
          <w:tcPr>
            <w:tcW w:w="2093" w:type="dxa"/>
            <w:shd w:val="clear" w:color="auto" w:fill="D9D9D9" w:themeFill="background1" w:themeFillShade="D9"/>
          </w:tcPr>
          <w:p w:rsidR="0022092D" w:rsidRPr="006F0128" w:rsidRDefault="0022092D" w:rsidP="006E3E0A">
            <w:pPr>
              <w:spacing w:after="0"/>
              <w:rPr>
                <w:rFonts w:eastAsia="Times New Roman"/>
                <w:b/>
                <w:sz w:val="20"/>
                <w:szCs w:val="20"/>
                <w:lang w:val="hr-HR"/>
              </w:rPr>
            </w:pPr>
            <w:r w:rsidRPr="006F0128">
              <w:rPr>
                <w:rFonts w:eastAsia="Times New Roman"/>
                <w:b/>
                <w:sz w:val="20"/>
                <w:szCs w:val="20"/>
                <w:lang w:val="hr-HR"/>
              </w:rPr>
              <w:t>Budžetska godina</w:t>
            </w:r>
          </w:p>
        </w:tc>
        <w:tc>
          <w:tcPr>
            <w:tcW w:w="1559" w:type="dxa"/>
            <w:shd w:val="clear" w:color="auto" w:fill="D9D9D9" w:themeFill="background1" w:themeFillShade="D9"/>
          </w:tcPr>
          <w:p w:rsidR="0022092D" w:rsidRPr="006F0128" w:rsidRDefault="0022092D" w:rsidP="006E3E0A">
            <w:pPr>
              <w:spacing w:after="0"/>
              <w:jc w:val="center"/>
              <w:rPr>
                <w:rFonts w:eastAsia="Times New Roman"/>
                <w:b/>
                <w:sz w:val="20"/>
                <w:szCs w:val="20"/>
                <w:lang w:val="hr-HR"/>
              </w:rPr>
            </w:pPr>
            <w:r w:rsidRPr="006F0128">
              <w:rPr>
                <w:rFonts w:eastAsia="Times New Roman"/>
                <w:b/>
                <w:sz w:val="20"/>
                <w:szCs w:val="20"/>
                <w:lang w:val="hr-HR"/>
              </w:rPr>
              <w:t>2012</w:t>
            </w:r>
          </w:p>
        </w:tc>
        <w:tc>
          <w:tcPr>
            <w:tcW w:w="1559" w:type="dxa"/>
            <w:shd w:val="clear" w:color="auto" w:fill="D9D9D9" w:themeFill="background1" w:themeFillShade="D9"/>
          </w:tcPr>
          <w:p w:rsidR="0022092D" w:rsidRPr="006F0128" w:rsidRDefault="0022092D" w:rsidP="006E3E0A">
            <w:pPr>
              <w:spacing w:after="0"/>
              <w:jc w:val="center"/>
              <w:rPr>
                <w:rFonts w:eastAsia="Times New Roman"/>
                <w:b/>
                <w:sz w:val="20"/>
                <w:szCs w:val="20"/>
                <w:lang w:val="hr-HR"/>
              </w:rPr>
            </w:pPr>
            <w:r w:rsidRPr="006F0128">
              <w:rPr>
                <w:rFonts w:eastAsia="Times New Roman"/>
                <w:b/>
                <w:sz w:val="20"/>
                <w:szCs w:val="20"/>
                <w:lang w:val="hr-HR"/>
              </w:rPr>
              <w:t>2013</w:t>
            </w:r>
          </w:p>
        </w:tc>
        <w:tc>
          <w:tcPr>
            <w:tcW w:w="1560" w:type="dxa"/>
            <w:shd w:val="clear" w:color="auto" w:fill="D9D9D9" w:themeFill="background1" w:themeFillShade="D9"/>
          </w:tcPr>
          <w:p w:rsidR="0022092D" w:rsidRPr="006F0128" w:rsidRDefault="0022092D" w:rsidP="006E3E0A">
            <w:pPr>
              <w:spacing w:after="0"/>
              <w:jc w:val="center"/>
              <w:rPr>
                <w:rFonts w:eastAsia="Times New Roman"/>
                <w:b/>
                <w:sz w:val="20"/>
                <w:szCs w:val="20"/>
                <w:lang w:val="hr-HR"/>
              </w:rPr>
            </w:pPr>
            <w:r w:rsidRPr="006F0128">
              <w:rPr>
                <w:rFonts w:eastAsia="Times New Roman"/>
                <w:b/>
                <w:sz w:val="20"/>
                <w:szCs w:val="20"/>
                <w:lang w:val="hr-HR"/>
              </w:rPr>
              <w:t>2014</w:t>
            </w:r>
          </w:p>
        </w:tc>
        <w:tc>
          <w:tcPr>
            <w:tcW w:w="1559" w:type="dxa"/>
            <w:shd w:val="clear" w:color="auto" w:fill="D9D9D9" w:themeFill="background1" w:themeFillShade="D9"/>
          </w:tcPr>
          <w:p w:rsidR="0022092D" w:rsidRPr="006F0128" w:rsidRDefault="0022092D" w:rsidP="006E3E0A">
            <w:pPr>
              <w:spacing w:after="0"/>
              <w:jc w:val="center"/>
              <w:rPr>
                <w:rFonts w:eastAsia="Times New Roman"/>
                <w:b/>
                <w:sz w:val="20"/>
                <w:szCs w:val="20"/>
                <w:lang w:val="hr-HR"/>
              </w:rPr>
            </w:pPr>
            <w:r w:rsidRPr="006F0128">
              <w:rPr>
                <w:rFonts w:eastAsia="Times New Roman"/>
                <w:b/>
                <w:sz w:val="20"/>
                <w:szCs w:val="20"/>
                <w:lang w:val="hr-HR"/>
              </w:rPr>
              <w:t>2015</w:t>
            </w:r>
          </w:p>
        </w:tc>
        <w:tc>
          <w:tcPr>
            <w:tcW w:w="1559" w:type="dxa"/>
            <w:shd w:val="clear" w:color="auto" w:fill="D9D9D9" w:themeFill="background1" w:themeFillShade="D9"/>
          </w:tcPr>
          <w:p w:rsidR="0022092D" w:rsidRPr="006F0128" w:rsidRDefault="0022092D" w:rsidP="006E3E0A">
            <w:pPr>
              <w:spacing w:after="0"/>
              <w:jc w:val="center"/>
              <w:rPr>
                <w:rFonts w:eastAsia="Times New Roman"/>
                <w:b/>
                <w:sz w:val="20"/>
                <w:szCs w:val="20"/>
                <w:lang w:val="hr-HR"/>
              </w:rPr>
            </w:pPr>
            <w:r w:rsidRPr="006F0128">
              <w:rPr>
                <w:rFonts w:eastAsia="Times New Roman"/>
                <w:b/>
                <w:sz w:val="20"/>
                <w:szCs w:val="20"/>
                <w:lang w:val="hr-HR"/>
              </w:rPr>
              <w:t>2016</w:t>
            </w:r>
          </w:p>
        </w:tc>
      </w:tr>
      <w:tr w:rsidR="0022092D" w:rsidRPr="006F0128" w:rsidTr="00EA228B">
        <w:tc>
          <w:tcPr>
            <w:tcW w:w="2093"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Izvr.izdat.budžeta</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7.925.768,00</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5.163.284,00</w:t>
            </w:r>
          </w:p>
        </w:tc>
        <w:tc>
          <w:tcPr>
            <w:tcW w:w="1560"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6.726.631,00</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5.394.445,00</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6.481.951,00</w:t>
            </w:r>
          </w:p>
        </w:tc>
      </w:tr>
      <w:tr w:rsidR="0022092D" w:rsidRPr="006F0128" w:rsidTr="00EA228B">
        <w:tc>
          <w:tcPr>
            <w:tcW w:w="2093"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1.Tekući izdaci</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4.724.168,00</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4.423.839,00</w:t>
            </w:r>
          </w:p>
        </w:tc>
        <w:tc>
          <w:tcPr>
            <w:tcW w:w="1560"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5.567.921,00</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5.069.369,00</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5.081.648,00</w:t>
            </w:r>
          </w:p>
        </w:tc>
      </w:tr>
      <w:tr w:rsidR="0022092D" w:rsidRPr="006F0128" w:rsidTr="00EA228B">
        <w:tc>
          <w:tcPr>
            <w:tcW w:w="2093"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1.1.Izad.i za plate</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2.011.513,00</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2.025.501,00</w:t>
            </w:r>
          </w:p>
        </w:tc>
        <w:tc>
          <w:tcPr>
            <w:tcW w:w="1560"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2.079.195,00</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1.996.409,00</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2.172.413,00</w:t>
            </w:r>
          </w:p>
        </w:tc>
      </w:tr>
      <w:tr w:rsidR="0022092D" w:rsidRPr="006F0128" w:rsidTr="00EA228B">
        <w:tc>
          <w:tcPr>
            <w:tcW w:w="2093"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1.2.Izdaci za mat.</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1.361.877,00</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1.095.268,00</w:t>
            </w:r>
          </w:p>
        </w:tc>
        <w:tc>
          <w:tcPr>
            <w:tcW w:w="1560"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2.067.421,00</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1.763.758,00</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1.500.288,00</w:t>
            </w:r>
          </w:p>
        </w:tc>
      </w:tr>
      <w:tr w:rsidR="0022092D" w:rsidRPr="006F0128" w:rsidTr="00EA228B">
        <w:tc>
          <w:tcPr>
            <w:tcW w:w="2093"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1.3.Tekuć.granto.</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1.350.778,00</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1.303.070,00</w:t>
            </w:r>
          </w:p>
        </w:tc>
        <w:tc>
          <w:tcPr>
            <w:tcW w:w="1560"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1.421.305,00</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1.309.202,00</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1.408.947,00</w:t>
            </w:r>
          </w:p>
        </w:tc>
      </w:tr>
      <w:tr w:rsidR="0022092D" w:rsidRPr="006F0128" w:rsidTr="00EA228B">
        <w:tc>
          <w:tcPr>
            <w:tcW w:w="2093"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2.Kapitalni izdac.</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3.201,600,00</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 xml:space="preserve">   739.445,00</w:t>
            </w:r>
          </w:p>
        </w:tc>
        <w:tc>
          <w:tcPr>
            <w:tcW w:w="1560"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1.158.710,00</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 xml:space="preserve">   325.076,00</w:t>
            </w:r>
          </w:p>
        </w:tc>
        <w:tc>
          <w:tcPr>
            <w:tcW w:w="1559"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1.400.303,00</w:t>
            </w:r>
          </w:p>
        </w:tc>
      </w:tr>
      <w:tr w:rsidR="0022092D" w:rsidRPr="006F0128" w:rsidTr="008C3C1E">
        <w:tc>
          <w:tcPr>
            <w:tcW w:w="2093" w:type="dxa"/>
            <w:shd w:val="clear" w:color="auto" w:fill="D9D9D9" w:themeFill="background1" w:themeFillShade="D9"/>
          </w:tcPr>
          <w:p w:rsidR="0022092D" w:rsidRPr="006F0128" w:rsidRDefault="008C3C1E" w:rsidP="006E3E0A">
            <w:pPr>
              <w:spacing w:after="0"/>
              <w:rPr>
                <w:rFonts w:eastAsia="Times New Roman"/>
                <w:b/>
                <w:sz w:val="20"/>
                <w:szCs w:val="20"/>
                <w:lang w:val="hr-HR"/>
              </w:rPr>
            </w:pPr>
            <w:r w:rsidRPr="006F0128">
              <w:rPr>
                <w:rFonts w:eastAsia="Times New Roman"/>
                <w:b/>
                <w:sz w:val="20"/>
                <w:szCs w:val="20"/>
                <w:lang w:val="hr-HR"/>
              </w:rPr>
              <w:t>Procenat izvršenja</w:t>
            </w:r>
          </w:p>
        </w:tc>
        <w:tc>
          <w:tcPr>
            <w:tcW w:w="1559" w:type="dxa"/>
            <w:shd w:val="clear" w:color="auto" w:fill="D9D9D9" w:themeFill="background1" w:themeFillShade="D9"/>
          </w:tcPr>
          <w:p w:rsidR="0022092D" w:rsidRPr="006F0128" w:rsidRDefault="0022092D" w:rsidP="006E3E0A">
            <w:pPr>
              <w:spacing w:after="0"/>
              <w:rPr>
                <w:rFonts w:eastAsia="Times New Roman"/>
                <w:b/>
                <w:sz w:val="20"/>
                <w:szCs w:val="20"/>
                <w:lang w:val="hr-HR"/>
              </w:rPr>
            </w:pPr>
          </w:p>
        </w:tc>
        <w:tc>
          <w:tcPr>
            <w:tcW w:w="1559" w:type="dxa"/>
            <w:shd w:val="clear" w:color="auto" w:fill="D9D9D9" w:themeFill="background1" w:themeFillShade="D9"/>
          </w:tcPr>
          <w:p w:rsidR="0022092D" w:rsidRPr="006F0128" w:rsidRDefault="0022092D" w:rsidP="006E3E0A">
            <w:pPr>
              <w:spacing w:after="0"/>
              <w:rPr>
                <w:rFonts w:eastAsia="Times New Roman"/>
                <w:b/>
                <w:sz w:val="20"/>
                <w:szCs w:val="20"/>
                <w:lang w:val="hr-HR"/>
              </w:rPr>
            </w:pPr>
          </w:p>
        </w:tc>
        <w:tc>
          <w:tcPr>
            <w:tcW w:w="1560" w:type="dxa"/>
            <w:shd w:val="clear" w:color="auto" w:fill="D9D9D9" w:themeFill="background1" w:themeFillShade="D9"/>
          </w:tcPr>
          <w:p w:rsidR="0022092D" w:rsidRPr="006F0128" w:rsidRDefault="0022092D" w:rsidP="006E3E0A">
            <w:pPr>
              <w:spacing w:after="0"/>
              <w:rPr>
                <w:rFonts w:eastAsia="Times New Roman"/>
                <w:b/>
                <w:sz w:val="20"/>
                <w:szCs w:val="20"/>
                <w:lang w:val="hr-HR"/>
              </w:rPr>
            </w:pPr>
          </w:p>
        </w:tc>
        <w:tc>
          <w:tcPr>
            <w:tcW w:w="1559" w:type="dxa"/>
            <w:shd w:val="clear" w:color="auto" w:fill="D9D9D9" w:themeFill="background1" w:themeFillShade="D9"/>
          </w:tcPr>
          <w:p w:rsidR="0022092D" w:rsidRPr="006F0128" w:rsidRDefault="0022092D" w:rsidP="006E3E0A">
            <w:pPr>
              <w:spacing w:after="0"/>
              <w:rPr>
                <w:rFonts w:eastAsia="Times New Roman"/>
                <w:b/>
                <w:sz w:val="20"/>
                <w:szCs w:val="20"/>
                <w:lang w:val="hr-HR"/>
              </w:rPr>
            </w:pPr>
          </w:p>
        </w:tc>
        <w:tc>
          <w:tcPr>
            <w:tcW w:w="1559" w:type="dxa"/>
            <w:shd w:val="clear" w:color="auto" w:fill="D9D9D9" w:themeFill="background1" w:themeFillShade="D9"/>
          </w:tcPr>
          <w:p w:rsidR="0022092D" w:rsidRPr="006F0128" w:rsidRDefault="0022092D" w:rsidP="006E3E0A">
            <w:pPr>
              <w:spacing w:after="0"/>
              <w:rPr>
                <w:rFonts w:eastAsia="Times New Roman"/>
                <w:b/>
                <w:sz w:val="20"/>
                <w:szCs w:val="20"/>
                <w:lang w:val="hr-HR"/>
              </w:rPr>
            </w:pPr>
          </w:p>
        </w:tc>
      </w:tr>
      <w:tr w:rsidR="0022092D" w:rsidRPr="006F0128" w:rsidTr="00EA228B">
        <w:tc>
          <w:tcPr>
            <w:tcW w:w="2093"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Tekući izdaci</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90,12</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91,60</w:t>
            </w:r>
          </w:p>
        </w:tc>
        <w:tc>
          <w:tcPr>
            <w:tcW w:w="1560"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81,05</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89,10</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82,13</w:t>
            </w:r>
          </w:p>
        </w:tc>
      </w:tr>
      <w:tr w:rsidR="0022092D" w:rsidRPr="006F0128" w:rsidTr="00EA228B">
        <w:tc>
          <w:tcPr>
            <w:tcW w:w="2093"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Izdaci za plate</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93,23</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97,76</w:t>
            </w:r>
          </w:p>
        </w:tc>
        <w:tc>
          <w:tcPr>
            <w:tcW w:w="1560"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96,20</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98,08</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98,33</w:t>
            </w:r>
          </w:p>
        </w:tc>
      </w:tr>
      <w:tr w:rsidR="0022092D" w:rsidRPr="006F0128" w:rsidTr="00EA228B">
        <w:tc>
          <w:tcPr>
            <w:tcW w:w="2093"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Izdaci za mater.</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80,38</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79,84</w:t>
            </w:r>
          </w:p>
        </w:tc>
        <w:tc>
          <w:tcPr>
            <w:tcW w:w="1560"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64,49</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78,67</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60,79</w:t>
            </w:r>
          </w:p>
        </w:tc>
      </w:tr>
      <w:tr w:rsidR="0022092D" w:rsidRPr="006F0128" w:rsidTr="00EA228B">
        <w:tc>
          <w:tcPr>
            <w:tcW w:w="2093"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Tekući grantovi</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96,63</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94,24</w:t>
            </w:r>
          </w:p>
        </w:tc>
        <w:tc>
          <w:tcPr>
            <w:tcW w:w="1560"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94,25</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92,56</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91,82</w:t>
            </w:r>
          </w:p>
        </w:tc>
      </w:tr>
      <w:tr w:rsidR="0022092D" w:rsidRPr="006F0128" w:rsidTr="00EA228B">
        <w:tc>
          <w:tcPr>
            <w:tcW w:w="2093" w:type="dxa"/>
          </w:tcPr>
          <w:p w:rsidR="0022092D" w:rsidRPr="006F0128" w:rsidRDefault="0022092D" w:rsidP="006E3E0A">
            <w:pPr>
              <w:spacing w:after="0"/>
              <w:rPr>
                <w:rFonts w:eastAsia="Times New Roman"/>
                <w:sz w:val="20"/>
                <w:szCs w:val="20"/>
                <w:lang w:val="hr-HR"/>
              </w:rPr>
            </w:pPr>
            <w:r w:rsidRPr="006F0128">
              <w:rPr>
                <w:rFonts w:eastAsia="Times New Roman"/>
                <w:sz w:val="20"/>
                <w:szCs w:val="20"/>
                <w:lang w:val="hr-HR"/>
              </w:rPr>
              <w:t>Kapitalni izdaci</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82,52</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45,46</w:t>
            </w:r>
          </w:p>
        </w:tc>
        <w:tc>
          <w:tcPr>
            <w:tcW w:w="1560"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46,12</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23,28</w:t>
            </w:r>
          </w:p>
        </w:tc>
        <w:tc>
          <w:tcPr>
            <w:tcW w:w="1559" w:type="dxa"/>
          </w:tcPr>
          <w:p w:rsidR="0022092D" w:rsidRPr="006F0128" w:rsidRDefault="0022092D" w:rsidP="006E3E0A">
            <w:pPr>
              <w:spacing w:after="0"/>
              <w:jc w:val="center"/>
              <w:rPr>
                <w:rFonts w:eastAsia="Times New Roman"/>
                <w:sz w:val="20"/>
                <w:szCs w:val="20"/>
                <w:lang w:val="hr-HR"/>
              </w:rPr>
            </w:pPr>
            <w:r w:rsidRPr="006F0128">
              <w:rPr>
                <w:rFonts w:eastAsia="Times New Roman"/>
                <w:sz w:val="20"/>
                <w:szCs w:val="20"/>
                <w:lang w:val="hr-HR"/>
              </w:rPr>
              <w:t>62,89</w:t>
            </w:r>
          </w:p>
        </w:tc>
      </w:tr>
    </w:tbl>
    <w:p w:rsidR="00575766" w:rsidRDefault="006F0128" w:rsidP="00AD59CB">
      <w:pPr>
        <w:pStyle w:val="Izvorpodataka"/>
      </w:pPr>
      <w:r>
        <w:t>Izvor: Podaci resorne općinske službe</w:t>
      </w:r>
    </w:p>
    <w:p w:rsidR="00A95A2B" w:rsidRDefault="00312E7A" w:rsidP="001C365F">
      <w:pPr>
        <w:rPr>
          <w:lang w:val="hr-HR"/>
        </w:rPr>
      </w:pPr>
      <w:r>
        <w:rPr>
          <w:lang w:val="hr-HR"/>
        </w:rPr>
        <w:t>Budžet za 2017. godinu je planir</w:t>
      </w:r>
      <w:r w:rsidR="00A95A2B">
        <w:rPr>
          <w:lang w:val="hr-HR"/>
        </w:rPr>
        <w:t>an u iznosu od 9.699.731,00 KM</w:t>
      </w:r>
      <w:r w:rsidR="00A95A2B">
        <w:rPr>
          <w:rStyle w:val="FootnoteReference"/>
          <w:lang w:val="hr-HR"/>
        </w:rPr>
        <w:footnoteReference w:id="60"/>
      </w:r>
      <w:r>
        <w:rPr>
          <w:lang w:val="hr-HR"/>
        </w:rPr>
        <w:t>. U strukturi ukupnih prihoda i primitaka najznačajnije mjesto zauzimaju porezni prihodi sa 46,76%, dok neporezni prihodi čine 13,12%, potpore (grantovi) 9,33%, te kapitalni transferi i primici 7,94%. Tekući izdaci u ukupno planiranom budžetu učestvuju sa 68,50%, kapitalni grantovi i nabavka stalnih sredstava sa 29,65%, te tekuća rezerva sa 1,25%. Plate, nabavke, dopronosi poslodavaca i izdaci za materijal i usluge kao dio tekućih izdataka čine 52,36% od ukupno planiranih rashoda. Zbog nepopunjenosti broja radnika u pojedinim općinskim službama, te usklađivanja plata i naknada s odredbama kolektivnog ugovora, predviđen je porast bruto plata u 2017. godini u odnosu na 2016. godinu za 12,55%, te naknada troškova zaposlenih i vijećnika za 1,83%.</w:t>
      </w:r>
      <w:r w:rsidR="00A95A2B">
        <w:rPr>
          <w:lang w:val="hr-HR"/>
        </w:rPr>
        <w:t xml:space="preserve"> </w:t>
      </w:r>
      <w:r>
        <w:rPr>
          <w:lang w:val="hr-HR"/>
        </w:rPr>
        <w:t>Pored budžetskih prihoda u 2017. godini planirani su i vanbudžetski prihodi u iznosu od 182.900 KM i to od naknada za rente i uređenje gradskog građevinskog zemljišta. Općina je po ovom osnovu u 2016. godini ostvarila prihod od 201.461,52 KM, a utrošak ovih sredstava se vršio u skladu s planom kojeg je usvojilo OV.</w:t>
      </w:r>
    </w:p>
    <w:p w:rsidR="00A95A2B" w:rsidRPr="00162F99" w:rsidRDefault="00A95A2B" w:rsidP="00AD59CB">
      <w:pPr>
        <w:pStyle w:val="Heading4"/>
        <w:rPr>
          <w:lang w:eastAsia="ar-SA"/>
        </w:rPr>
      </w:pPr>
      <w:bookmarkStart w:id="93" w:name="_Toc500140043"/>
      <w:r w:rsidRPr="00162F99">
        <w:rPr>
          <w:lang w:eastAsia="ar-SA"/>
        </w:rPr>
        <w:t>Procjena finansijskih sredstava za realizaciju projekata iz Strategije</w:t>
      </w:r>
      <w:bookmarkEnd w:id="93"/>
    </w:p>
    <w:p w:rsidR="00092E44" w:rsidRPr="00162F99" w:rsidRDefault="00F12982" w:rsidP="008A2A6D">
      <w:r w:rsidRPr="00162F99">
        <w:t xml:space="preserve">Projekcija prihoda za </w:t>
      </w:r>
      <w:r w:rsidR="00A95A2B" w:rsidRPr="00162F99">
        <w:t xml:space="preserve">period </w:t>
      </w:r>
      <w:r w:rsidRPr="00162F99">
        <w:t>2018</w:t>
      </w:r>
      <w:r w:rsidR="00A95A2B" w:rsidRPr="00162F99">
        <w:t>-</w:t>
      </w:r>
      <w:r w:rsidRPr="00162F99">
        <w:t>2020. godin</w:t>
      </w:r>
      <w:r w:rsidR="00A95A2B" w:rsidRPr="00162F99">
        <w:t>a</w:t>
      </w:r>
      <w:r w:rsidRPr="00162F99">
        <w:t xml:space="preserve"> urađena je na bazi plana </w:t>
      </w:r>
      <w:r w:rsidR="00A95A2B" w:rsidRPr="00162F99">
        <w:t xml:space="preserve">za 2017. godinu, koji se smatra </w:t>
      </w:r>
      <w:r w:rsidRPr="00162F99">
        <w:t>kao realno ostvariv uzimajući u obzir o</w:t>
      </w:r>
      <w:r w:rsidR="00A95A2B" w:rsidRPr="00162F99">
        <w:t>stvarenje prihoda za I-V mjesec</w:t>
      </w:r>
      <w:r w:rsidRPr="00162F99">
        <w:t xml:space="preserve"> 2017.</w:t>
      </w:r>
      <w:r w:rsidR="00A95A2B" w:rsidRPr="00162F99">
        <w:t xml:space="preserve"> </w:t>
      </w:r>
      <w:r w:rsidR="006E3E0A" w:rsidRPr="00162F99">
        <w:t>G</w:t>
      </w:r>
      <w:r w:rsidRPr="00162F99">
        <w:t>odine</w:t>
      </w:r>
      <w:r w:rsidR="006E3E0A" w:rsidRPr="00162F99">
        <w:t xml:space="preserve"> (tabela 17)</w:t>
      </w:r>
      <w:r w:rsidRPr="00162F99">
        <w:t>.</w:t>
      </w:r>
    </w:p>
    <w:p w:rsidR="00162F99" w:rsidRPr="00162F99" w:rsidRDefault="00162F99" w:rsidP="00162F99">
      <w:pPr>
        <w:pStyle w:val="GrafiTabele"/>
      </w:pPr>
      <w:r w:rsidRPr="00162F99">
        <w:t>Tabela 17: Pregled procjene po glavnim izvorima finansiranja za period 2018.-2022. godine</w:t>
      </w:r>
    </w:p>
    <w:tbl>
      <w:tblPr>
        <w:tblW w:w="10683" w:type="dxa"/>
        <w:tblInd w:w="1" w:type="dxa"/>
        <w:tblLayout w:type="fixed"/>
        <w:tblCellMar>
          <w:left w:w="10" w:type="dxa"/>
          <w:right w:w="10" w:type="dxa"/>
        </w:tblCellMar>
        <w:tblLook w:val="04A0" w:firstRow="1" w:lastRow="0" w:firstColumn="1" w:lastColumn="0" w:noHBand="0" w:noVBand="1"/>
      </w:tblPr>
      <w:tblGrid>
        <w:gridCol w:w="2913"/>
        <w:gridCol w:w="1129"/>
        <w:gridCol w:w="1129"/>
        <w:gridCol w:w="1129"/>
        <w:gridCol w:w="1129"/>
        <w:gridCol w:w="1129"/>
        <w:gridCol w:w="1129"/>
        <w:gridCol w:w="996"/>
      </w:tblGrid>
      <w:tr w:rsidR="00162F99" w:rsidRPr="00162F99" w:rsidTr="00162F99">
        <w:trPr>
          <w:gridAfter w:val="1"/>
          <w:wAfter w:w="996" w:type="dxa"/>
          <w:trHeight w:val="440"/>
        </w:trPr>
        <w:tc>
          <w:tcPr>
            <w:tcW w:w="2913" w:type="dxa"/>
            <w:vMerge w:val="restar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hideMark/>
          </w:tcPr>
          <w:p w:rsidR="00162F99" w:rsidRPr="00162F99" w:rsidRDefault="00162F99">
            <w:pPr>
              <w:pStyle w:val="Standard"/>
              <w:jc w:val="center"/>
              <w:rPr>
                <w:b/>
                <w:sz w:val="20"/>
                <w:szCs w:val="20"/>
              </w:rPr>
            </w:pPr>
            <w:r w:rsidRPr="00162F99">
              <w:rPr>
                <w:b/>
                <w:sz w:val="20"/>
                <w:szCs w:val="20"/>
              </w:rPr>
              <w:t>Izvori finansiranja lokalne razvojne strategije</w:t>
            </w:r>
          </w:p>
        </w:tc>
        <w:tc>
          <w:tcPr>
            <w:tcW w:w="6774" w:type="dxa"/>
            <w:gridSpan w:val="6"/>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hideMark/>
          </w:tcPr>
          <w:p w:rsidR="00162F99" w:rsidRPr="00162F99" w:rsidRDefault="00162F99">
            <w:pPr>
              <w:pStyle w:val="Standard"/>
              <w:jc w:val="center"/>
              <w:rPr>
                <w:b/>
                <w:sz w:val="20"/>
                <w:szCs w:val="20"/>
              </w:rPr>
            </w:pPr>
            <w:r w:rsidRPr="00162F99">
              <w:rPr>
                <w:b/>
                <w:sz w:val="20"/>
                <w:szCs w:val="20"/>
              </w:rPr>
              <w:t>Okvirna procjena po godinama</w:t>
            </w:r>
          </w:p>
        </w:tc>
      </w:tr>
      <w:tr w:rsidR="00162F99" w:rsidRPr="00162F99" w:rsidTr="00162F99">
        <w:trPr>
          <w:trHeight w:val="440"/>
        </w:trPr>
        <w:tc>
          <w:tcPr>
            <w:tcW w:w="2913" w:type="dxa"/>
            <w:vMerge/>
            <w:tcBorders>
              <w:top w:val="single" w:sz="4" w:space="0" w:color="00000A"/>
              <w:left w:val="single" w:sz="4" w:space="0" w:color="00000A"/>
              <w:bottom w:val="single" w:sz="4" w:space="0" w:color="00000A"/>
              <w:right w:val="single" w:sz="4" w:space="0" w:color="00000A"/>
            </w:tcBorders>
            <w:vAlign w:val="center"/>
            <w:hideMark/>
          </w:tcPr>
          <w:p w:rsidR="00162F99" w:rsidRPr="00162F99" w:rsidRDefault="00162F99">
            <w:pPr>
              <w:rPr>
                <w:b/>
                <w:kern w:val="3"/>
                <w:sz w:val="20"/>
                <w:szCs w:val="20"/>
                <w:lang w:val="en-US"/>
              </w:rPr>
            </w:pPr>
          </w:p>
        </w:tc>
        <w:tc>
          <w:tcPr>
            <w:tcW w:w="112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hideMark/>
          </w:tcPr>
          <w:p w:rsidR="00162F99" w:rsidRPr="00162F99" w:rsidRDefault="00162F99">
            <w:pPr>
              <w:pStyle w:val="Standard"/>
              <w:jc w:val="center"/>
              <w:rPr>
                <w:sz w:val="20"/>
                <w:szCs w:val="20"/>
              </w:rPr>
            </w:pPr>
            <w:r w:rsidRPr="00162F99">
              <w:rPr>
                <w:b/>
                <w:sz w:val="20"/>
                <w:szCs w:val="20"/>
              </w:rPr>
              <w:t>2018</w:t>
            </w:r>
          </w:p>
        </w:tc>
        <w:tc>
          <w:tcPr>
            <w:tcW w:w="112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hideMark/>
          </w:tcPr>
          <w:p w:rsidR="00162F99" w:rsidRPr="00162F99" w:rsidRDefault="00162F99">
            <w:pPr>
              <w:pStyle w:val="Standard"/>
              <w:jc w:val="center"/>
              <w:rPr>
                <w:sz w:val="20"/>
                <w:szCs w:val="20"/>
              </w:rPr>
            </w:pPr>
            <w:r w:rsidRPr="00162F99">
              <w:rPr>
                <w:b/>
                <w:sz w:val="20"/>
                <w:szCs w:val="20"/>
              </w:rPr>
              <w:t>2019</w:t>
            </w:r>
          </w:p>
        </w:tc>
        <w:tc>
          <w:tcPr>
            <w:tcW w:w="112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hideMark/>
          </w:tcPr>
          <w:p w:rsidR="00162F99" w:rsidRPr="00162F99" w:rsidRDefault="00162F99">
            <w:pPr>
              <w:pStyle w:val="Standard"/>
              <w:jc w:val="center"/>
              <w:rPr>
                <w:sz w:val="20"/>
                <w:szCs w:val="20"/>
              </w:rPr>
            </w:pPr>
            <w:r w:rsidRPr="00162F99">
              <w:rPr>
                <w:b/>
                <w:sz w:val="20"/>
                <w:szCs w:val="20"/>
              </w:rPr>
              <w:t>2020</w:t>
            </w:r>
          </w:p>
        </w:tc>
        <w:tc>
          <w:tcPr>
            <w:tcW w:w="112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hideMark/>
          </w:tcPr>
          <w:p w:rsidR="00162F99" w:rsidRPr="00162F99" w:rsidRDefault="00162F99">
            <w:pPr>
              <w:pStyle w:val="Standard"/>
              <w:jc w:val="center"/>
              <w:rPr>
                <w:sz w:val="20"/>
                <w:szCs w:val="20"/>
              </w:rPr>
            </w:pPr>
            <w:r w:rsidRPr="00162F99">
              <w:rPr>
                <w:b/>
                <w:sz w:val="20"/>
                <w:szCs w:val="20"/>
              </w:rPr>
              <w:t>2021</w:t>
            </w:r>
          </w:p>
        </w:tc>
        <w:tc>
          <w:tcPr>
            <w:tcW w:w="112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rsidR="00162F99" w:rsidRPr="00162F99" w:rsidRDefault="00162F99">
            <w:pPr>
              <w:pStyle w:val="Standard"/>
              <w:jc w:val="center"/>
              <w:rPr>
                <w:sz w:val="20"/>
                <w:szCs w:val="20"/>
              </w:rPr>
            </w:pPr>
            <w:r w:rsidRPr="00162F99">
              <w:rPr>
                <w:b/>
                <w:sz w:val="20"/>
                <w:szCs w:val="20"/>
              </w:rPr>
              <w:t>2022</w:t>
            </w:r>
          </w:p>
        </w:tc>
        <w:tc>
          <w:tcPr>
            <w:tcW w:w="112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hideMark/>
          </w:tcPr>
          <w:p w:rsidR="00162F99" w:rsidRPr="00162F99" w:rsidRDefault="00162F99">
            <w:pPr>
              <w:pStyle w:val="Standard"/>
              <w:jc w:val="center"/>
              <w:rPr>
                <w:b/>
                <w:sz w:val="20"/>
                <w:szCs w:val="20"/>
              </w:rPr>
            </w:pPr>
            <w:r w:rsidRPr="00162F99">
              <w:rPr>
                <w:b/>
                <w:sz w:val="20"/>
                <w:szCs w:val="20"/>
              </w:rPr>
              <w:t>Ukupno</w:t>
            </w:r>
          </w:p>
        </w:tc>
        <w:tc>
          <w:tcPr>
            <w:tcW w:w="996" w:type="dxa"/>
          </w:tcPr>
          <w:p w:rsidR="00162F99" w:rsidRPr="00162F99" w:rsidRDefault="00162F99">
            <w:pPr>
              <w:pStyle w:val="Standard"/>
              <w:rPr>
                <w:sz w:val="20"/>
                <w:szCs w:val="20"/>
              </w:rPr>
            </w:pPr>
          </w:p>
        </w:tc>
      </w:tr>
      <w:tr w:rsidR="00D517E8" w:rsidRPr="00162F99" w:rsidTr="00162F99">
        <w:trPr>
          <w:gridAfter w:val="1"/>
          <w:wAfter w:w="996" w:type="dxa"/>
          <w:trHeight w:val="188"/>
        </w:trPr>
        <w:tc>
          <w:tcPr>
            <w:tcW w:w="2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162F99" w:rsidRDefault="00D517E8" w:rsidP="00D517E8">
            <w:pPr>
              <w:pStyle w:val="Standard"/>
              <w:spacing w:before="60" w:after="60"/>
              <w:rPr>
                <w:sz w:val="20"/>
                <w:szCs w:val="20"/>
              </w:rPr>
            </w:pPr>
            <w:r w:rsidRPr="00162F99">
              <w:rPr>
                <w:b/>
                <w:bCs/>
                <w:sz w:val="20"/>
                <w:szCs w:val="20"/>
              </w:rPr>
              <w:t>Iz budžeta Općine Kalesija</w:t>
            </w:r>
            <w:r w:rsidRPr="00162F99">
              <w:rPr>
                <w:b/>
                <w:bCs/>
                <w:color w:val="FF0000"/>
                <w:sz w:val="20"/>
                <w:szCs w:val="20"/>
              </w:rPr>
              <w:t xml:space="preserve"> </w:t>
            </w:r>
            <w:r w:rsidRPr="00162F99">
              <w:rPr>
                <w:b/>
                <w:bCs/>
                <w:sz w:val="20"/>
                <w:szCs w:val="20"/>
              </w:rPr>
              <w:t>(u KM)</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b/>
                <w:bCs/>
                <w:sz w:val="20"/>
              </w:rPr>
            </w:pPr>
            <w:r w:rsidRPr="00D517E8">
              <w:rPr>
                <w:b/>
                <w:bCs/>
                <w:sz w:val="20"/>
              </w:rPr>
              <w:t>1.911.666</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b/>
                <w:bCs/>
                <w:sz w:val="20"/>
              </w:rPr>
            </w:pPr>
            <w:r w:rsidRPr="00D517E8">
              <w:rPr>
                <w:b/>
                <w:bCs/>
                <w:sz w:val="20"/>
              </w:rPr>
              <w:t>2.903.299</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b/>
                <w:bCs/>
                <w:sz w:val="20"/>
              </w:rPr>
            </w:pPr>
            <w:r w:rsidRPr="00D517E8">
              <w:rPr>
                <w:b/>
                <w:bCs/>
                <w:sz w:val="20"/>
              </w:rPr>
              <w:t>2.716.901</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b/>
                <w:bCs/>
                <w:sz w:val="20"/>
              </w:rPr>
            </w:pPr>
            <w:r w:rsidRPr="00D517E8">
              <w:rPr>
                <w:b/>
                <w:bCs/>
                <w:sz w:val="20"/>
              </w:rPr>
              <w:t>1.100.000</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b/>
                <w:bCs/>
                <w:sz w:val="20"/>
              </w:rPr>
            </w:pPr>
            <w:r w:rsidRPr="00D517E8">
              <w:rPr>
                <w:b/>
                <w:bCs/>
                <w:sz w:val="20"/>
              </w:rPr>
              <w:t>524.634</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b/>
                <w:bCs/>
                <w:sz w:val="20"/>
              </w:rPr>
            </w:pPr>
            <w:r w:rsidRPr="00D517E8">
              <w:rPr>
                <w:b/>
                <w:bCs/>
                <w:sz w:val="20"/>
              </w:rPr>
              <w:t>9.156.500</w:t>
            </w:r>
          </w:p>
        </w:tc>
      </w:tr>
      <w:tr w:rsidR="00D517E8" w:rsidRPr="00162F99" w:rsidTr="00162F99">
        <w:trPr>
          <w:gridAfter w:val="1"/>
          <w:wAfter w:w="996" w:type="dxa"/>
          <w:trHeight w:val="539"/>
        </w:trPr>
        <w:tc>
          <w:tcPr>
            <w:tcW w:w="2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162F99" w:rsidRDefault="00D517E8" w:rsidP="00D517E8">
            <w:pPr>
              <w:pStyle w:val="Standard"/>
              <w:spacing w:before="60" w:after="60"/>
              <w:rPr>
                <w:sz w:val="20"/>
                <w:szCs w:val="20"/>
              </w:rPr>
            </w:pPr>
            <w:r w:rsidRPr="00162F99">
              <w:rPr>
                <w:sz w:val="20"/>
                <w:szCs w:val="20"/>
              </w:rPr>
              <w:t>Iz eksternih izvora (</w:t>
            </w:r>
            <w:r w:rsidRPr="00162F99">
              <w:rPr>
                <w:i/>
                <w:sz w:val="20"/>
                <w:szCs w:val="20"/>
              </w:rPr>
              <w:t xml:space="preserve">krediti, entiteti, kantoni, država, javna </w:t>
            </w:r>
            <w:r w:rsidRPr="00162F99">
              <w:rPr>
                <w:i/>
                <w:sz w:val="20"/>
                <w:szCs w:val="20"/>
              </w:rPr>
              <w:lastRenderedPageBreak/>
              <w:t>preduzeća i privatni izvori</w:t>
            </w:r>
            <w:r w:rsidRPr="00162F99">
              <w:rPr>
                <w:sz w:val="20"/>
                <w:szCs w:val="20"/>
              </w:rPr>
              <w:t>) (u KM)</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sz w:val="20"/>
              </w:rPr>
            </w:pPr>
            <w:r w:rsidRPr="00D517E8">
              <w:rPr>
                <w:sz w:val="20"/>
              </w:rPr>
              <w:lastRenderedPageBreak/>
              <w:t>8.829.207</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sz w:val="20"/>
              </w:rPr>
            </w:pPr>
            <w:r w:rsidRPr="00D517E8">
              <w:rPr>
                <w:sz w:val="20"/>
              </w:rPr>
              <w:t>5.609.864</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sz w:val="20"/>
              </w:rPr>
            </w:pPr>
            <w:r w:rsidRPr="00D517E8">
              <w:rPr>
                <w:sz w:val="20"/>
              </w:rPr>
              <w:t>3.277.848</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sz w:val="20"/>
              </w:rPr>
            </w:pPr>
            <w:r w:rsidRPr="00D517E8">
              <w:rPr>
                <w:sz w:val="20"/>
              </w:rPr>
              <w:t>0</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sz w:val="20"/>
              </w:rPr>
            </w:pPr>
            <w:r w:rsidRPr="00D517E8">
              <w:rPr>
                <w:sz w:val="20"/>
              </w:rPr>
              <w:t>0</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sz w:val="20"/>
              </w:rPr>
            </w:pPr>
            <w:r w:rsidRPr="00D517E8">
              <w:rPr>
                <w:sz w:val="20"/>
              </w:rPr>
              <w:t>17.716.919</w:t>
            </w:r>
          </w:p>
        </w:tc>
      </w:tr>
      <w:tr w:rsidR="00D517E8" w:rsidRPr="00162F99" w:rsidTr="00162F99">
        <w:trPr>
          <w:gridAfter w:val="1"/>
          <w:wAfter w:w="996" w:type="dxa"/>
          <w:trHeight w:val="350"/>
        </w:trPr>
        <w:tc>
          <w:tcPr>
            <w:tcW w:w="2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162F99" w:rsidRDefault="00D517E8" w:rsidP="00D517E8">
            <w:pPr>
              <w:pStyle w:val="Standard"/>
              <w:spacing w:before="60" w:after="60"/>
              <w:rPr>
                <w:sz w:val="20"/>
                <w:szCs w:val="20"/>
              </w:rPr>
            </w:pPr>
            <w:r w:rsidRPr="00162F99">
              <w:rPr>
                <w:sz w:val="20"/>
                <w:szCs w:val="20"/>
              </w:rPr>
              <w:lastRenderedPageBreak/>
              <w:t>Iz ekternih izvora (</w:t>
            </w:r>
            <w:r w:rsidRPr="00162F99">
              <w:rPr>
                <w:i/>
                <w:sz w:val="20"/>
                <w:szCs w:val="20"/>
              </w:rPr>
              <w:t>IPA, donatori i ostalo</w:t>
            </w:r>
            <w:r w:rsidRPr="00162F99">
              <w:rPr>
                <w:sz w:val="20"/>
                <w:szCs w:val="20"/>
              </w:rPr>
              <w:t>) (u KM)</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sz w:val="20"/>
              </w:rPr>
            </w:pPr>
            <w:r w:rsidRPr="00D517E8">
              <w:rPr>
                <w:sz w:val="20"/>
              </w:rPr>
              <w:t>86.126</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sz w:val="20"/>
              </w:rPr>
            </w:pPr>
            <w:r w:rsidRPr="00D517E8">
              <w:rPr>
                <w:sz w:val="20"/>
              </w:rPr>
              <w:t>3.058.469</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sz w:val="20"/>
              </w:rPr>
            </w:pPr>
            <w:r w:rsidRPr="00D517E8">
              <w:rPr>
                <w:sz w:val="20"/>
              </w:rPr>
              <w:t>4.985.986</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sz w:val="20"/>
              </w:rPr>
            </w:pPr>
            <w:r w:rsidRPr="00D517E8">
              <w:rPr>
                <w:sz w:val="20"/>
              </w:rPr>
              <w:t>6.343.209</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sz w:val="20"/>
              </w:rPr>
            </w:pPr>
            <w:r w:rsidRPr="00D517E8">
              <w:rPr>
                <w:sz w:val="20"/>
              </w:rPr>
              <w:t>6.342.210</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sz w:val="20"/>
              </w:rPr>
            </w:pPr>
            <w:r w:rsidRPr="00D517E8">
              <w:rPr>
                <w:sz w:val="20"/>
              </w:rPr>
              <w:t>20.817.000</w:t>
            </w:r>
          </w:p>
        </w:tc>
      </w:tr>
      <w:tr w:rsidR="00D517E8" w:rsidRPr="00162F99" w:rsidTr="00162F99">
        <w:trPr>
          <w:gridAfter w:val="1"/>
          <w:wAfter w:w="996" w:type="dxa"/>
          <w:trHeight w:val="350"/>
        </w:trPr>
        <w:tc>
          <w:tcPr>
            <w:tcW w:w="2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162F99" w:rsidRDefault="00D517E8" w:rsidP="00D517E8">
            <w:pPr>
              <w:pStyle w:val="Standard"/>
              <w:spacing w:before="60" w:after="60"/>
              <w:rPr>
                <w:b/>
                <w:bCs/>
                <w:sz w:val="20"/>
                <w:szCs w:val="20"/>
              </w:rPr>
            </w:pPr>
            <w:r w:rsidRPr="00162F99">
              <w:rPr>
                <w:b/>
                <w:bCs/>
                <w:sz w:val="20"/>
                <w:szCs w:val="20"/>
              </w:rPr>
              <w:t>Ukupno iz eksternih izvora (u KM)</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b/>
                <w:bCs/>
                <w:sz w:val="20"/>
              </w:rPr>
            </w:pPr>
            <w:r w:rsidRPr="00D517E8">
              <w:rPr>
                <w:b/>
                <w:bCs/>
                <w:sz w:val="20"/>
              </w:rPr>
              <w:t>8.915.333</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b/>
                <w:bCs/>
                <w:sz w:val="20"/>
              </w:rPr>
            </w:pPr>
            <w:r w:rsidRPr="00D517E8">
              <w:rPr>
                <w:b/>
                <w:bCs/>
                <w:sz w:val="20"/>
              </w:rPr>
              <w:t>8.668.333</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b/>
                <w:bCs/>
                <w:sz w:val="20"/>
              </w:rPr>
            </w:pPr>
            <w:r w:rsidRPr="00D517E8">
              <w:rPr>
                <w:b/>
                <w:bCs/>
                <w:sz w:val="20"/>
              </w:rPr>
              <w:t>8.263.834</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b/>
                <w:bCs/>
                <w:sz w:val="20"/>
              </w:rPr>
            </w:pPr>
            <w:r w:rsidRPr="00D517E8">
              <w:rPr>
                <w:b/>
                <w:bCs/>
                <w:sz w:val="20"/>
              </w:rPr>
              <w:t>6.343.209</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b/>
                <w:bCs/>
                <w:sz w:val="20"/>
              </w:rPr>
            </w:pPr>
            <w:r w:rsidRPr="00D517E8">
              <w:rPr>
                <w:b/>
                <w:bCs/>
                <w:sz w:val="20"/>
              </w:rPr>
              <w:t>6.343.210</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b/>
                <w:bCs/>
                <w:sz w:val="20"/>
              </w:rPr>
            </w:pPr>
            <w:r w:rsidRPr="00D517E8">
              <w:rPr>
                <w:b/>
                <w:bCs/>
                <w:sz w:val="20"/>
              </w:rPr>
              <w:t>38.533.919</w:t>
            </w:r>
          </w:p>
        </w:tc>
      </w:tr>
      <w:tr w:rsidR="00D517E8" w:rsidRPr="00162F99" w:rsidTr="00162F99">
        <w:trPr>
          <w:gridAfter w:val="1"/>
          <w:wAfter w:w="996" w:type="dxa"/>
          <w:trHeight w:val="350"/>
        </w:trPr>
        <w:tc>
          <w:tcPr>
            <w:tcW w:w="2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162F99" w:rsidRDefault="00D517E8" w:rsidP="00D517E8">
            <w:pPr>
              <w:pStyle w:val="Standard"/>
              <w:rPr>
                <w:b/>
                <w:sz w:val="20"/>
                <w:szCs w:val="20"/>
              </w:rPr>
            </w:pPr>
            <w:r w:rsidRPr="00162F99">
              <w:rPr>
                <w:b/>
                <w:sz w:val="20"/>
                <w:szCs w:val="20"/>
              </w:rPr>
              <w:t>UKUPNO (u KM)</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b/>
                <w:bCs/>
                <w:sz w:val="20"/>
              </w:rPr>
            </w:pPr>
            <w:r w:rsidRPr="00D517E8">
              <w:rPr>
                <w:b/>
                <w:bCs/>
                <w:sz w:val="20"/>
              </w:rPr>
              <w:t>10.826.999</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b/>
                <w:bCs/>
                <w:sz w:val="20"/>
              </w:rPr>
            </w:pPr>
            <w:r w:rsidRPr="00D517E8">
              <w:rPr>
                <w:b/>
                <w:bCs/>
                <w:sz w:val="20"/>
              </w:rPr>
              <w:t>11.571.632</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b/>
                <w:bCs/>
                <w:sz w:val="20"/>
              </w:rPr>
            </w:pPr>
            <w:r w:rsidRPr="00D517E8">
              <w:rPr>
                <w:b/>
                <w:bCs/>
                <w:sz w:val="20"/>
              </w:rPr>
              <w:t>10.980.735</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b/>
                <w:bCs/>
                <w:sz w:val="20"/>
              </w:rPr>
            </w:pPr>
            <w:r w:rsidRPr="00D517E8">
              <w:rPr>
                <w:b/>
                <w:bCs/>
                <w:sz w:val="20"/>
              </w:rPr>
              <w:t>7.443.209</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b/>
                <w:bCs/>
                <w:sz w:val="20"/>
              </w:rPr>
            </w:pPr>
            <w:r w:rsidRPr="00D517E8">
              <w:rPr>
                <w:b/>
                <w:bCs/>
                <w:sz w:val="20"/>
              </w:rPr>
              <w:t>6.867.844</w:t>
            </w:r>
          </w:p>
        </w:tc>
        <w:tc>
          <w:tcPr>
            <w:tcW w:w="11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D517E8" w:rsidRPr="00D517E8" w:rsidRDefault="00D517E8" w:rsidP="00D517E8">
            <w:pPr>
              <w:pStyle w:val="Standard"/>
              <w:spacing w:before="120" w:after="120"/>
              <w:jc w:val="right"/>
              <w:rPr>
                <w:b/>
                <w:bCs/>
                <w:sz w:val="20"/>
              </w:rPr>
            </w:pPr>
            <w:r w:rsidRPr="00D517E8">
              <w:rPr>
                <w:b/>
                <w:bCs/>
                <w:sz w:val="20"/>
              </w:rPr>
              <w:t>47.690.419</w:t>
            </w:r>
          </w:p>
        </w:tc>
      </w:tr>
    </w:tbl>
    <w:p w:rsidR="00162F99" w:rsidRDefault="00162F99" w:rsidP="00162F99">
      <w:pPr>
        <w:rPr>
          <w:highlight w:val="yellow"/>
        </w:rPr>
      </w:pPr>
    </w:p>
    <w:p w:rsidR="00162F99" w:rsidRPr="004233FA" w:rsidRDefault="00162F99" w:rsidP="00162F99">
      <w:pPr>
        <w:rPr>
          <w:highlight w:val="yellow"/>
        </w:rPr>
      </w:pPr>
    </w:p>
    <w:p w:rsidR="00881DF1" w:rsidRPr="008A5919" w:rsidRDefault="00881DF1" w:rsidP="00931888">
      <w:pPr>
        <w:pStyle w:val="Heading2"/>
      </w:pPr>
      <w:bookmarkStart w:id="94" w:name="_Toc491379769"/>
      <w:bookmarkStart w:id="95" w:name="_Toc500140044"/>
      <w:r w:rsidRPr="008A5919">
        <w:t>IV.2.</w:t>
      </w:r>
      <w:r w:rsidRPr="008A5919">
        <w:tab/>
        <w:t>Strateško fokusiranje</w:t>
      </w:r>
      <w:bookmarkEnd w:id="94"/>
      <w:bookmarkEnd w:id="95"/>
    </w:p>
    <w:p w:rsidR="002B7D8E" w:rsidRPr="00F82C79" w:rsidRDefault="00EA228B" w:rsidP="008A2A6D">
      <w:r w:rsidRPr="00F82C79">
        <w:t>Pregled unutrašnjih i vanjskih faktora koji utiču na razvoj Općine i realizaciju Strategije razvoja predstavljen je putem analize snaga, slabosti, prilika i prijetnji – SWOT</w:t>
      </w:r>
      <w:r w:rsidRPr="00F82C79">
        <w:rPr>
          <w:rStyle w:val="FootnoteReference"/>
        </w:rPr>
        <w:footnoteReference w:id="61"/>
      </w:r>
      <w:r w:rsidRPr="00F82C79">
        <w:t xml:space="preserve"> analize. SWOT analiza predstavlja most između sadašnjeg stanja i željenog budućeg stanja, koje se definiše razvojnom strategijom. U toku revizije Strategije, Općinski razvojni tim kritički je sagledao SWOT analizu i prilagodio listu unutarnjih snaga i slabosti Općine, kao i listu prilika i prijetnji u okruženju, novim okolnostima. </w:t>
      </w:r>
    </w:p>
    <w:tbl>
      <w:tblPr>
        <w:tblW w:w="9782"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C6D9F1"/>
        <w:tblLook w:val="01E0" w:firstRow="1" w:lastRow="1" w:firstColumn="1" w:lastColumn="1" w:noHBand="0" w:noVBand="0"/>
      </w:tblPr>
      <w:tblGrid>
        <w:gridCol w:w="4996"/>
        <w:gridCol w:w="4786"/>
      </w:tblGrid>
      <w:tr w:rsidR="00EA228B" w:rsidRPr="00F82C79" w:rsidTr="00C86F0E">
        <w:trPr>
          <w:trHeight w:val="531"/>
        </w:trPr>
        <w:tc>
          <w:tcPr>
            <w:tcW w:w="4996" w:type="dxa"/>
            <w:shd w:val="clear" w:color="auto" w:fill="CCFF3B"/>
            <w:vAlign w:val="center"/>
          </w:tcPr>
          <w:p w:rsidR="00EA228B" w:rsidRPr="00F82C79" w:rsidRDefault="00EA228B" w:rsidP="00AD59CB">
            <w:pPr>
              <w:jc w:val="center"/>
              <w:rPr>
                <w:rFonts w:cs="Calibri"/>
                <w:b/>
                <w:bCs/>
                <w:noProof/>
              </w:rPr>
            </w:pPr>
            <w:r w:rsidRPr="00F82C79">
              <w:rPr>
                <w:rFonts w:cs="Calibri"/>
                <w:b/>
                <w:bCs/>
                <w:noProof/>
              </w:rPr>
              <w:t>SNAGE</w:t>
            </w:r>
          </w:p>
        </w:tc>
        <w:tc>
          <w:tcPr>
            <w:tcW w:w="4786" w:type="dxa"/>
            <w:shd w:val="clear" w:color="auto" w:fill="CCFF3B"/>
            <w:vAlign w:val="center"/>
          </w:tcPr>
          <w:p w:rsidR="00EA228B" w:rsidRPr="00F82C79" w:rsidRDefault="00EA228B" w:rsidP="00AD59CB">
            <w:pPr>
              <w:jc w:val="center"/>
              <w:rPr>
                <w:rFonts w:cs="Calibri"/>
                <w:b/>
                <w:bCs/>
                <w:noProof/>
              </w:rPr>
            </w:pPr>
            <w:r w:rsidRPr="00F82C79">
              <w:rPr>
                <w:rFonts w:cs="Calibri"/>
                <w:b/>
                <w:bCs/>
                <w:noProof/>
              </w:rPr>
              <w:t>SLABOSTI</w:t>
            </w:r>
          </w:p>
        </w:tc>
      </w:tr>
      <w:tr w:rsidR="00EA228B" w:rsidRPr="00F82C79" w:rsidTr="00C86F0E">
        <w:trPr>
          <w:trHeight w:val="274"/>
        </w:trPr>
        <w:tc>
          <w:tcPr>
            <w:tcW w:w="4996" w:type="dxa"/>
            <w:shd w:val="clear" w:color="auto" w:fill="auto"/>
          </w:tcPr>
          <w:p w:rsidR="00EA228B" w:rsidRDefault="00EA228B" w:rsidP="001B6DF3">
            <w:pPr>
              <w:pStyle w:val="ListParagraph"/>
              <w:numPr>
                <w:ilvl w:val="0"/>
                <w:numId w:val="11"/>
              </w:numPr>
              <w:rPr>
                <w:noProof/>
              </w:rPr>
            </w:pPr>
            <w:r>
              <w:rPr>
                <w:noProof/>
              </w:rPr>
              <w:t>Povoljan geografski položaj;</w:t>
            </w:r>
          </w:p>
          <w:p w:rsidR="00EA228B" w:rsidRDefault="00EA228B" w:rsidP="001B6DF3">
            <w:pPr>
              <w:pStyle w:val="ListParagraph"/>
              <w:numPr>
                <w:ilvl w:val="0"/>
                <w:numId w:val="11"/>
              </w:numPr>
              <w:rPr>
                <w:noProof/>
              </w:rPr>
            </w:pPr>
            <w:r>
              <w:rPr>
                <w:noProof/>
              </w:rPr>
              <w:t>Dobra saobraćajna povezanost</w:t>
            </w:r>
            <w:r w:rsidRPr="00F82C79">
              <w:rPr>
                <w:noProof/>
              </w:rPr>
              <w:t>;</w:t>
            </w:r>
          </w:p>
          <w:p w:rsidR="00EA228B" w:rsidRPr="00F82C79" w:rsidRDefault="00EA228B" w:rsidP="001B6DF3">
            <w:pPr>
              <w:pStyle w:val="ListParagraph"/>
              <w:numPr>
                <w:ilvl w:val="0"/>
                <w:numId w:val="11"/>
              </w:numPr>
              <w:rPr>
                <w:noProof/>
              </w:rPr>
            </w:pPr>
            <w:r>
              <w:rPr>
                <w:noProof/>
              </w:rPr>
              <w:t>Pozitivan prirodni priraštaj;</w:t>
            </w:r>
          </w:p>
          <w:p w:rsidR="000B1937" w:rsidRDefault="00EA228B" w:rsidP="001B6DF3">
            <w:pPr>
              <w:numPr>
                <w:ilvl w:val="0"/>
                <w:numId w:val="11"/>
              </w:numPr>
              <w:jc w:val="left"/>
              <w:rPr>
                <w:rFonts w:cs="Calibri"/>
                <w:noProof/>
              </w:rPr>
            </w:pPr>
            <w:r>
              <w:rPr>
                <w:rFonts w:cs="Calibri"/>
                <w:noProof/>
              </w:rPr>
              <w:t>Trend rasta broja registriranih preduzeća / obrta</w:t>
            </w:r>
            <w:r w:rsidR="000B1937">
              <w:rPr>
                <w:rFonts w:cs="Calibri"/>
                <w:noProof/>
              </w:rPr>
              <w:t xml:space="preserve"> u sektoru uslužnih djelatnosti</w:t>
            </w:r>
            <w:r w:rsidRPr="00F82C79">
              <w:rPr>
                <w:rFonts w:cs="Calibri"/>
                <w:noProof/>
              </w:rPr>
              <w:t>;</w:t>
            </w:r>
          </w:p>
          <w:p w:rsidR="007F3402" w:rsidRDefault="000B1937" w:rsidP="001B6DF3">
            <w:pPr>
              <w:numPr>
                <w:ilvl w:val="0"/>
                <w:numId w:val="11"/>
              </w:numPr>
              <w:jc w:val="left"/>
              <w:rPr>
                <w:rFonts w:cs="Calibri"/>
                <w:noProof/>
              </w:rPr>
            </w:pPr>
            <w:r w:rsidRPr="000B1937">
              <w:rPr>
                <w:rFonts w:cs="Calibri"/>
                <w:noProof/>
              </w:rPr>
              <w:t>Mala i srednja preduzeća su nosioci privrednog razvoja</w:t>
            </w:r>
            <w:r w:rsidR="007F3402">
              <w:rPr>
                <w:rFonts w:cs="Calibri"/>
                <w:noProof/>
              </w:rPr>
              <w:t>;</w:t>
            </w:r>
          </w:p>
          <w:p w:rsidR="007F3402" w:rsidRPr="007F3402" w:rsidRDefault="007F3402" w:rsidP="001B6DF3">
            <w:pPr>
              <w:numPr>
                <w:ilvl w:val="0"/>
                <w:numId w:val="11"/>
              </w:numPr>
              <w:jc w:val="left"/>
              <w:rPr>
                <w:rFonts w:cs="Calibri"/>
                <w:noProof/>
              </w:rPr>
            </w:pPr>
            <w:r>
              <w:rPr>
                <w:rFonts w:cs="Calibri"/>
                <w:noProof/>
              </w:rPr>
              <w:t>Osnovana Agencija za razvoj Kalesije;</w:t>
            </w:r>
          </w:p>
          <w:p w:rsidR="000B1937" w:rsidRPr="00F82C79" w:rsidRDefault="000B1937" w:rsidP="001B6DF3">
            <w:pPr>
              <w:numPr>
                <w:ilvl w:val="0"/>
                <w:numId w:val="11"/>
              </w:numPr>
              <w:jc w:val="left"/>
              <w:rPr>
                <w:rFonts w:cs="Calibri"/>
                <w:noProof/>
              </w:rPr>
            </w:pPr>
            <w:r>
              <w:rPr>
                <w:rFonts w:cs="Calibri"/>
                <w:noProof/>
              </w:rPr>
              <w:t>Uređena prostorno-planska dokumentacija</w:t>
            </w:r>
            <w:r w:rsidR="002C3D71">
              <w:rPr>
                <w:rFonts w:cs="Calibri"/>
                <w:noProof/>
              </w:rPr>
              <w:t xml:space="preserve"> i stvorena osnova za izradu provedbenih dokumenata i odluka</w:t>
            </w:r>
            <w:r w:rsidRPr="00F82C79">
              <w:rPr>
                <w:rFonts w:cs="Calibri"/>
                <w:noProof/>
              </w:rPr>
              <w:t xml:space="preserve">; </w:t>
            </w:r>
          </w:p>
          <w:p w:rsidR="000B1937" w:rsidRDefault="000B1937" w:rsidP="001B6DF3">
            <w:pPr>
              <w:pStyle w:val="ListParagraph"/>
              <w:numPr>
                <w:ilvl w:val="0"/>
                <w:numId w:val="11"/>
              </w:numPr>
              <w:rPr>
                <w:noProof/>
              </w:rPr>
            </w:pPr>
            <w:r>
              <w:rPr>
                <w:noProof/>
              </w:rPr>
              <w:t xml:space="preserve">Povoljni </w:t>
            </w:r>
            <w:r w:rsidR="002C3D71">
              <w:rPr>
                <w:noProof/>
              </w:rPr>
              <w:t xml:space="preserve">prirodni </w:t>
            </w:r>
            <w:r>
              <w:rPr>
                <w:noProof/>
              </w:rPr>
              <w:t>uslovi</w:t>
            </w:r>
            <w:r w:rsidRPr="00F82C79">
              <w:rPr>
                <w:noProof/>
              </w:rPr>
              <w:t xml:space="preserve"> razvoj poljoprivredne proizvodnje;</w:t>
            </w:r>
          </w:p>
          <w:p w:rsidR="000B1937" w:rsidRDefault="000B1937" w:rsidP="001B6DF3">
            <w:pPr>
              <w:pStyle w:val="ListParagraph"/>
              <w:numPr>
                <w:ilvl w:val="0"/>
                <w:numId w:val="11"/>
              </w:numPr>
              <w:rPr>
                <w:noProof/>
              </w:rPr>
            </w:pPr>
            <w:r>
              <w:rPr>
                <w:noProof/>
              </w:rPr>
              <w:t>Povećan broj registriranih poljoprivrednih gazdinstava u posljednjim godinama i rastući interes stanovnika za tržišno orjentiranu poljoprivrednu proizvodnju;</w:t>
            </w:r>
          </w:p>
          <w:p w:rsidR="00CB2EA2" w:rsidRDefault="00CB2EA2" w:rsidP="001B6DF3">
            <w:pPr>
              <w:pStyle w:val="ListParagraph"/>
              <w:numPr>
                <w:ilvl w:val="0"/>
                <w:numId w:val="11"/>
              </w:numPr>
              <w:rPr>
                <w:noProof/>
              </w:rPr>
            </w:pPr>
            <w:r>
              <w:rPr>
                <w:noProof/>
              </w:rPr>
              <w:t>Redovno se prate podaci o ugroženim kategorijama stanovništva;</w:t>
            </w:r>
          </w:p>
          <w:p w:rsidR="00C60F3B" w:rsidRDefault="00C60F3B" w:rsidP="001B6DF3">
            <w:pPr>
              <w:pStyle w:val="ListParagraph"/>
              <w:numPr>
                <w:ilvl w:val="0"/>
                <w:numId w:val="11"/>
              </w:numPr>
              <w:rPr>
                <w:noProof/>
              </w:rPr>
            </w:pPr>
            <w:r>
              <w:rPr>
                <w:noProof/>
              </w:rPr>
              <w:t>Postoje planovi za unaprjeđenje usluga vodosnabdijevanja i kanalizacije;</w:t>
            </w:r>
          </w:p>
          <w:p w:rsidR="000B1937" w:rsidRPr="00F82C79" w:rsidRDefault="000B1937" w:rsidP="001B6DF3">
            <w:pPr>
              <w:pStyle w:val="ListParagraph"/>
              <w:numPr>
                <w:ilvl w:val="0"/>
                <w:numId w:val="11"/>
              </w:numPr>
              <w:rPr>
                <w:noProof/>
              </w:rPr>
            </w:pPr>
            <w:r>
              <w:rPr>
                <w:noProof/>
              </w:rPr>
              <w:t>Relativno mali stepen zagađenja prirodnih resursa;</w:t>
            </w:r>
          </w:p>
          <w:p w:rsidR="00EA228B" w:rsidRDefault="00501E48" w:rsidP="001B6DF3">
            <w:pPr>
              <w:numPr>
                <w:ilvl w:val="0"/>
                <w:numId w:val="11"/>
              </w:numPr>
              <w:jc w:val="left"/>
              <w:rPr>
                <w:rFonts w:cs="Calibri"/>
                <w:noProof/>
              </w:rPr>
            </w:pPr>
            <w:r>
              <w:rPr>
                <w:rFonts w:cs="Calibri"/>
                <w:noProof/>
              </w:rPr>
              <w:lastRenderedPageBreak/>
              <w:t xml:space="preserve">Postoje </w:t>
            </w:r>
            <w:r w:rsidR="00EA228B">
              <w:rPr>
                <w:rFonts w:cs="Calibri"/>
                <w:noProof/>
              </w:rPr>
              <w:t>uslovi za sanitarno odlaganje otpada;</w:t>
            </w:r>
          </w:p>
          <w:p w:rsidR="00EA228B" w:rsidRPr="002C3D71" w:rsidRDefault="00501E48" w:rsidP="001B6DF3">
            <w:pPr>
              <w:numPr>
                <w:ilvl w:val="0"/>
                <w:numId w:val="11"/>
              </w:numPr>
              <w:autoSpaceDE w:val="0"/>
              <w:autoSpaceDN w:val="0"/>
              <w:adjustRightInd w:val="0"/>
              <w:jc w:val="left"/>
              <w:rPr>
                <w:rFonts w:cs="Calibri"/>
                <w:noProof/>
              </w:rPr>
            </w:pPr>
            <w:r>
              <w:rPr>
                <w:rFonts w:eastAsia="TimesNewRoman" w:cs="Calibri"/>
              </w:rPr>
              <w:t>Veliki broj kanala za informisanje i komunikaciju između uprave i građana (mediji, we</w:t>
            </w:r>
            <w:r w:rsidR="00C2481C">
              <w:rPr>
                <w:rFonts w:eastAsia="TimesNewRoman" w:cs="Calibri"/>
              </w:rPr>
              <w:t>b portali, itd.)</w:t>
            </w:r>
          </w:p>
        </w:tc>
        <w:tc>
          <w:tcPr>
            <w:tcW w:w="4786" w:type="dxa"/>
            <w:shd w:val="clear" w:color="auto" w:fill="auto"/>
          </w:tcPr>
          <w:p w:rsidR="002C3D71" w:rsidRDefault="002C3D71" w:rsidP="001B6DF3">
            <w:pPr>
              <w:numPr>
                <w:ilvl w:val="0"/>
                <w:numId w:val="11"/>
              </w:numPr>
              <w:jc w:val="left"/>
              <w:rPr>
                <w:rFonts w:cs="Calibri"/>
                <w:noProof/>
              </w:rPr>
            </w:pPr>
            <w:r>
              <w:rPr>
                <w:rFonts w:cs="Calibri"/>
                <w:noProof/>
              </w:rPr>
              <w:lastRenderedPageBreak/>
              <w:t>Nedovoljan broj izgrađenih industrijskih zona;</w:t>
            </w:r>
          </w:p>
          <w:p w:rsidR="00EA228B" w:rsidRPr="00F82C79" w:rsidRDefault="00EA228B" w:rsidP="001B6DF3">
            <w:pPr>
              <w:numPr>
                <w:ilvl w:val="0"/>
                <w:numId w:val="11"/>
              </w:numPr>
              <w:jc w:val="left"/>
              <w:rPr>
                <w:rFonts w:cs="Calibri"/>
                <w:noProof/>
              </w:rPr>
            </w:pPr>
            <w:r>
              <w:rPr>
                <w:rFonts w:cs="Calibri"/>
                <w:noProof/>
              </w:rPr>
              <w:t>Velika usitnjenost poljoprivrednih</w:t>
            </w:r>
            <w:r w:rsidRPr="00F82C79">
              <w:rPr>
                <w:rFonts w:cs="Calibri"/>
                <w:noProof/>
              </w:rPr>
              <w:t xml:space="preserve"> posjeda;</w:t>
            </w:r>
          </w:p>
          <w:p w:rsidR="008D4B13" w:rsidRDefault="008D4B13" w:rsidP="001B6DF3">
            <w:pPr>
              <w:numPr>
                <w:ilvl w:val="0"/>
                <w:numId w:val="11"/>
              </w:numPr>
              <w:jc w:val="left"/>
              <w:rPr>
                <w:rFonts w:cs="Calibri"/>
                <w:noProof/>
              </w:rPr>
            </w:pPr>
            <w:r w:rsidRPr="008D4B13">
              <w:rPr>
                <w:rFonts w:cs="Calibri"/>
                <w:noProof/>
              </w:rPr>
              <w:t xml:space="preserve">Samo 30 % </w:t>
            </w:r>
            <w:r>
              <w:rPr>
                <w:rFonts w:cs="Calibri"/>
                <w:noProof/>
              </w:rPr>
              <w:t xml:space="preserve">poljoprivrednog </w:t>
            </w:r>
            <w:r w:rsidRPr="008D4B13">
              <w:rPr>
                <w:rFonts w:cs="Calibri"/>
                <w:noProof/>
              </w:rPr>
              <w:t>zemljišta je I-III bonitetne kategorije</w:t>
            </w:r>
            <w:r>
              <w:rPr>
                <w:rFonts w:cs="Calibri"/>
                <w:noProof/>
              </w:rPr>
              <w:t>;</w:t>
            </w:r>
          </w:p>
          <w:p w:rsidR="00501E48" w:rsidRDefault="00501E48" w:rsidP="001B6DF3">
            <w:pPr>
              <w:numPr>
                <w:ilvl w:val="0"/>
                <w:numId w:val="11"/>
              </w:numPr>
              <w:jc w:val="left"/>
              <w:rPr>
                <w:rFonts w:cs="Calibri"/>
                <w:noProof/>
              </w:rPr>
            </w:pPr>
            <w:r>
              <w:rPr>
                <w:rFonts w:cs="Calibri"/>
                <w:noProof/>
              </w:rPr>
              <w:t>Neriješen status poljoprivrednog zemljišta</w:t>
            </w:r>
          </w:p>
          <w:p w:rsidR="00EA228B" w:rsidRPr="00F82C79" w:rsidRDefault="00EA228B" w:rsidP="001B6DF3">
            <w:pPr>
              <w:numPr>
                <w:ilvl w:val="0"/>
                <w:numId w:val="11"/>
              </w:numPr>
              <w:jc w:val="left"/>
              <w:rPr>
                <w:rFonts w:cs="Calibri"/>
                <w:noProof/>
              </w:rPr>
            </w:pPr>
            <w:r w:rsidRPr="00F82C79">
              <w:rPr>
                <w:rFonts w:cs="Calibri"/>
                <w:noProof/>
              </w:rPr>
              <w:t>Nedovoljn</w:t>
            </w:r>
            <w:r>
              <w:rPr>
                <w:rFonts w:cs="Calibri"/>
                <w:noProof/>
              </w:rPr>
              <w:t>i</w:t>
            </w:r>
            <w:r w:rsidRPr="00F82C79">
              <w:rPr>
                <w:rFonts w:cs="Calibri"/>
                <w:noProof/>
              </w:rPr>
              <w:t xml:space="preserve"> kapacitet</w:t>
            </w:r>
            <w:r>
              <w:rPr>
                <w:rFonts w:cs="Calibri"/>
                <w:noProof/>
              </w:rPr>
              <w:t>i</w:t>
            </w:r>
            <w:r w:rsidRPr="00F82C79">
              <w:rPr>
                <w:rFonts w:cs="Calibri"/>
                <w:noProof/>
              </w:rPr>
              <w:t xml:space="preserve"> za preradu poljoprivrednih proizvoda;</w:t>
            </w:r>
          </w:p>
          <w:p w:rsidR="003B4CDD" w:rsidRDefault="003B4CDD" w:rsidP="001B6DF3">
            <w:pPr>
              <w:numPr>
                <w:ilvl w:val="0"/>
                <w:numId w:val="11"/>
              </w:numPr>
              <w:autoSpaceDE w:val="0"/>
              <w:autoSpaceDN w:val="0"/>
              <w:adjustRightInd w:val="0"/>
              <w:jc w:val="left"/>
              <w:rPr>
                <w:rFonts w:eastAsia="TimesNewRoman" w:cs="Calibri"/>
              </w:rPr>
            </w:pPr>
            <w:r>
              <w:rPr>
                <w:rFonts w:eastAsia="TimesNewRoman" w:cs="Calibri"/>
              </w:rPr>
              <w:t xml:space="preserve">Neadekvatna opremljenost školskih kabineta za nastavu </w:t>
            </w:r>
            <w:r w:rsidRPr="003B4CDD">
              <w:rPr>
                <w:rFonts w:eastAsia="TimesNewRoman" w:cs="Calibri"/>
              </w:rPr>
              <w:t>biologij</w:t>
            </w:r>
            <w:r>
              <w:rPr>
                <w:rFonts w:eastAsia="TimesNewRoman" w:cs="Calibri"/>
              </w:rPr>
              <w:t>e</w:t>
            </w:r>
            <w:r w:rsidRPr="003B4CDD">
              <w:rPr>
                <w:rFonts w:eastAsia="TimesNewRoman" w:cs="Calibri"/>
              </w:rPr>
              <w:t>, hemij</w:t>
            </w:r>
            <w:r>
              <w:rPr>
                <w:rFonts w:eastAsia="TimesNewRoman" w:cs="Calibri"/>
              </w:rPr>
              <w:t>e</w:t>
            </w:r>
            <w:r w:rsidRPr="003B4CDD">
              <w:rPr>
                <w:rFonts w:eastAsia="TimesNewRoman" w:cs="Calibri"/>
              </w:rPr>
              <w:t>, matematik</w:t>
            </w:r>
            <w:r>
              <w:rPr>
                <w:rFonts w:eastAsia="TimesNewRoman" w:cs="Calibri"/>
              </w:rPr>
              <w:t>e</w:t>
            </w:r>
            <w:r w:rsidRPr="003B4CDD">
              <w:rPr>
                <w:rFonts w:eastAsia="TimesNewRoman" w:cs="Calibri"/>
              </w:rPr>
              <w:t>, informatik</w:t>
            </w:r>
            <w:r>
              <w:rPr>
                <w:rFonts w:eastAsia="TimesNewRoman" w:cs="Calibri"/>
              </w:rPr>
              <w:t>e</w:t>
            </w:r>
            <w:r w:rsidRPr="003B4CDD">
              <w:rPr>
                <w:rFonts w:eastAsia="TimesNewRoman" w:cs="Calibri"/>
              </w:rPr>
              <w:t xml:space="preserve"> i</w:t>
            </w:r>
            <w:r>
              <w:rPr>
                <w:rFonts w:eastAsia="TimesNewRoman" w:cs="Calibri"/>
              </w:rPr>
              <w:t xml:space="preserve"> fizike, </w:t>
            </w:r>
          </w:p>
          <w:p w:rsidR="007F3402" w:rsidRDefault="007F3402" w:rsidP="001B6DF3">
            <w:pPr>
              <w:numPr>
                <w:ilvl w:val="0"/>
                <w:numId w:val="11"/>
              </w:numPr>
              <w:autoSpaceDE w:val="0"/>
              <w:autoSpaceDN w:val="0"/>
              <w:adjustRightInd w:val="0"/>
              <w:jc w:val="left"/>
              <w:rPr>
                <w:rFonts w:eastAsia="TimesNewRoman" w:cs="Calibri"/>
              </w:rPr>
            </w:pPr>
            <w:r>
              <w:rPr>
                <w:rFonts w:eastAsia="TimesNewRoman" w:cs="Calibri"/>
              </w:rPr>
              <w:t>Nedostatak neformalnih oblika obrazovanja;</w:t>
            </w:r>
          </w:p>
          <w:p w:rsidR="00EA228B" w:rsidRPr="00F82C79" w:rsidRDefault="00EA228B" w:rsidP="001B6DF3">
            <w:pPr>
              <w:numPr>
                <w:ilvl w:val="0"/>
                <w:numId w:val="11"/>
              </w:numPr>
              <w:autoSpaceDE w:val="0"/>
              <w:autoSpaceDN w:val="0"/>
              <w:adjustRightInd w:val="0"/>
              <w:jc w:val="left"/>
              <w:rPr>
                <w:rFonts w:eastAsia="TimesNewRoman" w:cs="Calibri"/>
              </w:rPr>
            </w:pPr>
            <w:r>
              <w:rPr>
                <w:rFonts w:eastAsia="TimesNewRoman" w:cs="Calibri"/>
              </w:rPr>
              <w:t>Neriješen odvod otpadnih voda i nepostojanje</w:t>
            </w:r>
            <w:r w:rsidRPr="00F82C79">
              <w:rPr>
                <w:rFonts w:eastAsia="TimesNewRoman" w:cs="Calibri"/>
              </w:rPr>
              <w:t xml:space="preserve"> postrojenja za prečišćavanje otpadnih voda;</w:t>
            </w:r>
          </w:p>
          <w:p w:rsidR="00EA228B" w:rsidRDefault="00EA228B" w:rsidP="001B6DF3">
            <w:pPr>
              <w:numPr>
                <w:ilvl w:val="0"/>
                <w:numId w:val="11"/>
              </w:numPr>
              <w:autoSpaceDE w:val="0"/>
              <w:autoSpaceDN w:val="0"/>
              <w:adjustRightInd w:val="0"/>
              <w:jc w:val="left"/>
              <w:rPr>
                <w:rFonts w:eastAsia="TimesNewRoman" w:cs="Calibri"/>
              </w:rPr>
            </w:pPr>
            <w:r>
              <w:rPr>
                <w:rFonts w:eastAsia="TimesNewRoman" w:cs="Calibri"/>
              </w:rPr>
              <w:t>Oko 50% domaćinstava nije uključeno u sistem</w:t>
            </w:r>
            <w:r w:rsidRPr="00F82C79">
              <w:rPr>
                <w:rFonts w:eastAsia="TimesNewRoman" w:cs="Calibri"/>
              </w:rPr>
              <w:t xml:space="preserve"> odvoza otpada;</w:t>
            </w:r>
          </w:p>
          <w:p w:rsidR="007C1E2F" w:rsidRPr="00F82C79" w:rsidRDefault="007C1E2F" w:rsidP="001B6DF3">
            <w:pPr>
              <w:numPr>
                <w:ilvl w:val="0"/>
                <w:numId w:val="11"/>
              </w:numPr>
              <w:autoSpaceDE w:val="0"/>
              <w:autoSpaceDN w:val="0"/>
              <w:adjustRightInd w:val="0"/>
              <w:jc w:val="left"/>
              <w:rPr>
                <w:rFonts w:eastAsia="TimesNewRoman" w:cs="Calibri"/>
              </w:rPr>
            </w:pPr>
            <w:r>
              <w:rPr>
                <w:rFonts w:eastAsia="TimesNewRoman" w:cs="Calibri"/>
              </w:rPr>
              <w:t>Ne postoji sistem centralnog grijanja;</w:t>
            </w:r>
          </w:p>
          <w:p w:rsidR="00EA228B" w:rsidRDefault="00EA228B" w:rsidP="001B6DF3">
            <w:pPr>
              <w:numPr>
                <w:ilvl w:val="0"/>
                <w:numId w:val="11"/>
              </w:numPr>
              <w:autoSpaceDE w:val="0"/>
              <w:autoSpaceDN w:val="0"/>
              <w:adjustRightInd w:val="0"/>
              <w:jc w:val="left"/>
              <w:rPr>
                <w:rFonts w:eastAsia="TimesNewRoman" w:cs="Calibri"/>
              </w:rPr>
            </w:pPr>
            <w:r>
              <w:rPr>
                <w:rFonts w:eastAsia="TimesNewRoman" w:cs="Calibri"/>
              </w:rPr>
              <w:t>Ne postoji m</w:t>
            </w:r>
            <w:r w:rsidRPr="00F82C79">
              <w:rPr>
                <w:rFonts w:eastAsia="TimesNewRoman" w:cs="Calibri"/>
              </w:rPr>
              <w:t xml:space="preserve">onitoring kvaliteta zraka, vode i </w:t>
            </w:r>
            <w:r>
              <w:rPr>
                <w:rFonts w:eastAsia="TimesNewRoman" w:cs="Calibri"/>
              </w:rPr>
              <w:t>tla</w:t>
            </w:r>
            <w:r w:rsidRPr="00F82C79">
              <w:rPr>
                <w:rFonts w:eastAsia="TimesNewRoman" w:cs="Calibri"/>
              </w:rPr>
              <w:t xml:space="preserve">; </w:t>
            </w:r>
          </w:p>
          <w:p w:rsidR="00EA228B" w:rsidRPr="00C2481C" w:rsidRDefault="002C3D71" w:rsidP="001B6DF3">
            <w:pPr>
              <w:numPr>
                <w:ilvl w:val="0"/>
                <w:numId w:val="11"/>
              </w:numPr>
              <w:autoSpaceDE w:val="0"/>
              <w:autoSpaceDN w:val="0"/>
              <w:adjustRightInd w:val="0"/>
              <w:jc w:val="left"/>
              <w:rPr>
                <w:rFonts w:eastAsia="TimesNewRoman" w:cs="Calibri"/>
              </w:rPr>
            </w:pPr>
            <w:r>
              <w:rPr>
                <w:rFonts w:eastAsia="TimesNewRoman" w:cs="Calibri"/>
              </w:rPr>
              <w:t>Nedovol</w:t>
            </w:r>
            <w:r w:rsidR="00C2481C">
              <w:rPr>
                <w:rFonts w:eastAsia="TimesNewRoman" w:cs="Calibri"/>
              </w:rPr>
              <w:t>jno istraženi mineralni resursi</w:t>
            </w:r>
          </w:p>
        </w:tc>
      </w:tr>
      <w:tr w:rsidR="00EA228B" w:rsidRPr="00F82C79" w:rsidTr="00C86F0E">
        <w:trPr>
          <w:trHeight w:val="511"/>
        </w:trPr>
        <w:tc>
          <w:tcPr>
            <w:tcW w:w="4996" w:type="dxa"/>
            <w:shd w:val="clear" w:color="auto" w:fill="CCFF3B"/>
            <w:vAlign w:val="center"/>
          </w:tcPr>
          <w:p w:rsidR="00EA228B" w:rsidRPr="00F82C79" w:rsidRDefault="00EA228B" w:rsidP="00AD59CB">
            <w:pPr>
              <w:jc w:val="center"/>
              <w:rPr>
                <w:rFonts w:cs="Calibri"/>
                <w:b/>
                <w:bCs/>
                <w:noProof/>
              </w:rPr>
            </w:pPr>
            <w:r w:rsidRPr="00F82C79">
              <w:rPr>
                <w:rFonts w:cs="Calibri"/>
                <w:b/>
                <w:bCs/>
                <w:noProof/>
              </w:rPr>
              <w:lastRenderedPageBreak/>
              <w:t>PRILIKE</w:t>
            </w:r>
          </w:p>
        </w:tc>
        <w:tc>
          <w:tcPr>
            <w:tcW w:w="4786" w:type="dxa"/>
            <w:shd w:val="clear" w:color="auto" w:fill="CCFF3B"/>
            <w:vAlign w:val="center"/>
          </w:tcPr>
          <w:p w:rsidR="00EA228B" w:rsidRPr="00F82C79" w:rsidRDefault="00EA228B" w:rsidP="00AD59CB">
            <w:pPr>
              <w:jc w:val="center"/>
              <w:rPr>
                <w:rFonts w:cs="Calibri"/>
                <w:b/>
                <w:bCs/>
                <w:noProof/>
              </w:rPr>
            </w:pPr>
            <w:r w:rsidRPr="00F82C79">
              <w:rPr>
                <w:rFonts w:cs="Calibri"/>
                <w:b/>
                <w:bCs/>
                <w:noProof/>
              </w:rPr>
              <w:t>PRIJETNJE</w:t>
            </w:r>
          </w:p>
        </w:tc>
      </w:tr>
      <w:tr w:rsidR="00EA228B" w:rsidRPr="00F82C79" w:rsidTr="00C86F0E">
        <w:trPr>
          <w:trHeight w:val="395"/>
        </w:trPr>
        <w:tc>
          <w:tcPr>
            <w:tcW w:w="4996" w:type="dxa"/>
            <w:shd w:val="clear" w:color="auto" w:fill="auto"/>
          </w:tcPr>
          <w:p w:rsidR="00EA228B" w:rsidRDefault="00EA228B" w:rsidP="001B6DF3">
            <w:pPr>
              <w:numPr>
                <w:ilvl w:val="0"/>
                <w:numId w:val="10"/>
              </w:numPr>
              <w:jc w:val="left"/>
              <w:rPr>
                <w:rFonts w:cs="Calibri"/>
                <w:noProof/>
              </w:rPr>
            </w:pPr>
            <w:r>
              <w:rPr>
                <w:rFonts w:cs="Calibri"/>
                <w:noProof/>
              </w:rPr>
              <w:t>Postoje fondovi za poticaje primarnoj poljoprivrednoj proizvodnji na Kantonalnom i Federalnom nivou;</w:t>
            </w:r>
          </w:p>
          <w:p w:rsidR="00EA228B" w:rsidRPr="00F82C79" w:rsidRDefault="00EA228B" w:rsidP="001B6DF3">
            <w:pPr>
              <w:numPr>
                <w:ilvl w:val="0"/>
                <w:numId w:val="10"/>
              </w:numPr>
              <w:jc w:val="left"/>
              <w:rPr>
                <w:rFonts w:cs="Calibri"/>
                <w:noProof/>
              </w:rPr>
            </w:pPr>
            <w:r>
              <w:rPr>
                <w:rFonts w:cs="Calibri"/>
                <w:noProof/>
              </w:rPr>
              <w:t>Učešće u projektu MEG</w:t>
            </w:r>
            <w:r w:rsidRPr="00F82C79">
              <w:rPr>
                <w:rFonts w:cs="Calibri"/>
                <w:noProof/>
              </w:rPr>
              <w:t xml:space="preserve">; </w:t>
            </w:r>
          </w:p>
          <w:p w:rsidR="00EA228B" w:rsidRPr="00C2481C" w:rsidRDefault="00EA228B" w:rsidP="001B6DF3">
            <w:pPr>
              <w:numPr>
                <w:ilvl w:val="0"/>
                <w:numId w:val="10"/>
              </w:numPr>
              <w:autoSpaceDE w:val="0"/>
              <w:autoSpaceDN w:val="0"/>
              <w:adjustRightInd w:val="0"/>
              <w:jc w:val="left"/>
              <w:rPr>
                <w:rFonts w:eastAsia="TimesNewRoman" w:cs="Calibri"/>
              </w:rPr>
            </w:pPr>
            <w:r w:rsidRPr="00F82C79">
              <w:rPr>
                <w:rFonts w:cs="Calibri"/>
                <w:noProof/>
              </w:rPr>
              <w:t>Jačanje veza sa ljudima iz dijaspore radi privlačenja stranih investi</w:t>
            </w:r>
            <w:r w:rsidR="00C2481C">
              <w:rPr>
                <w:rFonts w:cs="Calibri"/>
                <w:noProof/>
              </w:rPr>
              <w:t>tora i kapitala, znanja i veza</w:t>
            </w:r>
          </w:p>
        </w:tc>
        <w:tc>
          <w:tcPr>
            <w:tcW w:w="4786" w:type="dxa"/>
            <w:shd w:val="clear" w:color="auto" w:fill="auto"/>
          </w:tcPr>
          <w:p w:rsidR="00EA228B" w:rsidRPr="00F82C79" w:rsidRDefault="00EA228B" w:rsidP="001B6DF3">
            <w:pPr>
              <w:numPr>
                <w:ilvl w:val="0"/>
                <w:numId w:val="10"/>
              </w:numPr>
              <w:jc w:val="left"/>
              <w:rPr>
                <w:rFonts w:cs="Calibri"/>
                <w:noProof/>
              </w:rPr>
            </w:pPr>
            <w:r w:rsidRPr="00F82C79">
              <w:rPr>
                <w:rFonts w:cs="Calibri"/>
                <w:noProof/>
              </w:rPr>
              <w:t xml:space="preserve">Odlazak građana iz </w:t>
            </w:r>
            <w:r>
              <w:rPr>
                <w:rFonts w:cs="Calibri"/>
                <w:noProof/>
              </w:rPr>
              <w:t>općine</w:t>
            </w:r>
            <w:r w:rsidRPr="00F82C79">
              <w:rPr>
                <w:rFonts w:cs="Calibri"/>
                <w:noProof/>
              </w:rPr>
              <w:t xml:space="preserve"> u inostranstvo</w:t>
            </w:r>
            <w:r>
              <w:rPr>
                <w:rFonts w:cs="Calibri"/>
                <w:noProof/>
              </w:rPr>
              <w:t xml:space="preserve"> ili druge općine unutar BiH</w:t>
            </w:r>
            <w:r w:rsidRPr="00F82C79">
              <w:rPr>
                <w:rFonts w:cs="Calibri"/>
                <w:noProof/>
              </w:rPr>
              <w:t>;</w:t>
            </w:r>
          </w:p>
          <w:p w:rsidR="00EA228B" w:rsidRPr="00F82C79" w:rsidRDefault="00EA228B" w:rsidP="001B6DF3">
            <w:pPr>
              <w:numPr>
                <w:ilvl w:val="0"/>
                <w:numId w:val="10"/>
              </w:numPr>
              <w:jc w:val="left"/>
              <w:rPr>
                <w:rFonts w:cs="Calibri"/>
                <w:noProof/>
              </w:rPr>
            </w:pPr>
            <w:r w:rsidRPr="00F82C79">
              <w:rPr>
                <w:rFonts w:cs="Calibri"/>
                <w:noProof/>
              </w:rPr>
              <w:t>Nedovoljno stimulativan pravni i finansijski okvir u BiH  za strane ulagače (nesigurnost za investitore);</w:t>
            </w:r>
          </w:p>
          <w:p w:rsidR="00EA228B" w:rsidRPr="00F82C79" w:rsidRDefault="00EA228B" w:rsidP="001B6DF3">
            <w:pPr>
              <w:numPr>
                <w:ilvl w:val="0"/>
                <w:numId w:val="10"/>
              </w:numPr>
              <w:jc w:val="left"/>
              <w:rPr>
                <w:rFonts w:cs="Calibri"/>
                <w:noProof/>
              </w:rPr>
            </w:pPr>
            <w:r w:rsidRPr="00F82C79">
              <w:rPr>
                <w:rFonts w:cs="Calibri"/>
                <w:noProof/>
              </w:rPr>
              <w:t>Sporo usvajanje zakona koji omogućuju primjenu standarda EU (za privredne subjekte);</w:t>
            </w:r>
          </w:p>
          <w:p w:rsidR="00EA228B" w:rsidRDefault="00EA228B" w:rsidP="001B6DF3">
            <w:pPr>
              <w:numPr>
                <w:ilvl w:val="0"/>
                <w:numId w:val="10"/>
              </w:numPr>
              <w:jc w:val="left"/>
              <w:rPr>
                <w:rFonts w:cs="Calibri"/>
                <w:noProof/>
              </w:rPr>
            </w:pPr>
            <w:r w:rsidRPr="00F82C79">
              <w:rPr>
                <w:rFonts w:cs="Calibri"/>
                <w:noProof/>
              </w:rPr>
              <w:t>Nizak nivo nadležnosti i pripadnosti prihoda za lokalni nivo vlasti (u odnosu na kantonalnu, entitetsku i državnu vlast);</w:t>
            </w:r>
          </w:p>
          <w:p w:rsidR="00501E48" w:rsidRDefault="00501E48" w:rsidP="001B6DF3">
            <w:pPr>
              <w:numPr>
                <w:ilvl w:val="0"/>
                <w:numId w:val="10"/>
              </w:numPr>
              <w:jc w:val="left"/>
              <w:rPr>
                <w:rFonts w:cs="Calibri"/>
                <w:noProof/>
              </w:rPr>
            </w:pPr>
            <w:r>
              <w:rPr>
                <w:rFonts w:cs="Calibri"/>
                <w:noProof/>
              </w:rPr>
              <w:t>Klizišta i elementarne nepogode;</w:t>
            </w:r>
          </w:p>
          <w:p w:rsidR="00501E48" w:rsidRDefault="007F3402" w:rsidP="001B6DF3">
            <w:pPr>
              <w:numPr>
                <w:ilvl w:val="0"/>
                <w:numId w:val="10"/>
              </w:numPr>
              <w:jc w:val="left"/>
              <w:rPr>
                <w:rFonts w:cs="Calibri"/>
                <w:noProof/>
              </w:rPr>
            </w:pPr>
            <w:r>
              <w:rPr>
                <w:rFonts w:cs="Calibri"/>
                <w:noProof/>
              </w:rPr>
              <w:t>Neadekvatna zakonska rješenja i standardi u oblasti zašite okoliša, koja se teško provode;</w:t>
            </w:r>
          </w:p>
          <w:p w:rsidR="005B789C" w:rsidRPr="00F82C79" w:rsidRDefault="002C3D71" w:rsidP="001B6DF3">
            <w:pPr>
              <w:numPr>
                <w:ilvl w:val="0"/>
                <w:numId w:val="10"/>
              </w:numPr>
              <w:jc w:val="left"/>
              <w:rPr>
                <w:rFonts w:cs="Calibri"/>
                <w:noProof/>
              </w:rPr>
            </w:pPr>
            <w:r w:rsidRPr="002C3D71">
              <w:rPr>
                <w:rFonts w:cs="Calibri"/>
                <w:noProof/>
              </w:rPr>
              <w:t xml:space="preserve">Neriješeno </w:t>
            </w:r>
            <w:r w:rsidR="00C2481C">
              <w:rPr>
                <w:rFonts w:cs="Calibri"/>
                <w:noProof/>
              </w:rPr>
              <w:t xml:space="preserve">imovinsko-pravni odnosi na </w:t>
            </w:r>
            <w:r w:rsidRPr="002C3D71">
              <w:rPr>
                <w:rFonts w:cs="Calibri"/>
                <w:noProof/>
              </w:rPr>
              <w:t>državno</w:t>
            </w:r>
            <w:r w:rsidR="00C2481C">
              <w:rPr>
                <w:rFonts w:cs="Calibri"/>
                <w:noProof/>
              </w:rPr>
              <w:t>m</w:t>
            </w:r>
            <w:r w:rsidRPr="002C3D71">
              <w:rPr>
                <w:rFonts w:cs="Calibri"/>
                <w:noProof/>
              </w:rPr>
              <w:t xml:space="preserve"> poljoprivredno</w:t>
            </w:r>
            <w:r w:rsidR="00C2481C">
              <w:rPr>
                <w:rFonts w:cs="Calibri"/>
                <w:noProof/>
              </w:rPr>
              <w:t>m zemljištu</w:t>
            </w:r>
          </w:p>
        </w:tc>
      </w:tr>
    </w:tbl>
    <w:p w:rsidR="00881DF1" w:rsidRPr="008A5919" w:rsidRDefault="00881DF1" w:rsidP="00931888">
      <w:pPr>
        <w:pStyle w:val="Heading2"/>
      </w:pPr>
      <w:bookmarkStart w:id="96" w:name="_Toc491379770"/>
      <w:bookmarkStart w:id="97" w:name="_Toc500140045"/>
      <w:r w:rsidRPr="008A5919">
        <w:t>IV.3.</w:t>
      </w:r>
      <w:r w:rsidRPr="008A5919">
        <w:tab/>
        <w:t>Vizija i strateški ciljevi razvoja</w:t>
      </w:r>
      <w:bookmarkEnd w:id="96"/>
      <w:bookmarkEnd w:id="97"/>
    </w:p>
    <w:p w:rsidR="00EC5D5A" w:rsidRDefault="00EC5D5A" w:rsidP="008A2A6D">
      <w:r>
        <w:t xml:space="preserve">Na osnovu socio-ekonomske analize i SWOT analize definisano je pet strateških fokusa </w:t>
      </w:r>
      <w:r w:rsidR="00005095">
        <w:t>za lokalni razvoj u periodu 2018</w:t>
      </w:r>
      <w:r>
        <w:t>-2027. godina:</w:t>
      </w:r>
    </w:p>
    <w:p w:rsidR="00EC5D5A" w:rsidRDefault="00EC5D5A" w:rsidP="008A2A6D">
      <w:pPr>
        <w:rPr>
          <w:i/>
          <w:lang w:val="hr-HR"/>
        </w:rPr>
      </w:pPr>
      <w:r w:rsidRPr="00EC5D5A">
        <w:rPr>
          <w:i/>
        </w:rPr>
        <w:t xml:space="preserve">Strateški fokus 1: </w:t>
      </w:r>
      <w:r>
        <w:rPr>
          <w:i/>
          <w:lang w:val="hr-HR"/>
        </w:rPr>
        <w:t>P</w:t>
      </w:r>
      <w:r w:rsidRPr="00EC5D5A">
        <w:rPr>
          <w:i/>
          <w:lang w:val="hr-HR"/>
        </w:rPr>
        <w:t>ov</w:t>
      </w:r>
      <w:r>
        <w:rPr>
          <w:i/>
          <w:lang w:val="hr-HR"/>
        </w:rPr>
        <w:t>e</w:t>
      </w:r>
      <w:r w:rsidRPr="00EC5D5A">
        <w:rPr>
          <w:i/>
          <w:lang w:val="hr-HR"/>
        </w:rPr>
        <w:t>ćanje konkurentnosti</w:t>
      </w:r>
      <w:r>
        <w:rPr>
          <w:i/>
          <w:lang w:val="hr-HR"/>
        </w:rPr>
        <w:t xml:space="preserve"> lokalne privrede i stvaranje</w:t>
      </w:r>
      <w:r w:rsidR="006F2D90">
        <w:rPr>
          <w:i/>
          <w:lang w:val="hr-HR"/>
        </w:rPr>
        <w:t xml:space="preserve"> lokacijskih</w:t>
      </w:r>
      <w:r w:rsidRPr="00EC5D5A">
        <w:rPr>
          <w:i/>
          <w:lang w:val="hr-HR"/>
        </w:rPr>
        <w:t xml:space="preserve"> prednost</w:t>
      </w:r>
      <w:r w:rsidR="006F2D90">
        <w:rPr>
          <w:i/>
          <w:lang w:val="hr-HR"/>
        </w:rPr>
        <w:t>i</w:t>
      </w:r>
      <w:r w:rsidRPr="00EC5D5A">
        <w:rPr>
          <w:i/>
          <w:lang w:val="hr-HR"/>
        </w:rPr>
        <w:t xml:space="preserve"> za investicije i razvoj poljoprivrede</w:t>
      </w:r>
    </w:p>
    <w:p w:rsidR="00212402" w:rsidRPr="006A4A95" w:rsidRDefault="00212402" w:rsidP="008A2A6D">
      <w:r>
        <w:t>U privrednom razvoju u posljednjim godinama prisutan je značajan rast privrednih subjekata, ali u strukturi dominiraju mikro preduzeća. Da bi se mogla razvijati krupnija preduzeća, potrebno je poboljšati poslovnu infrastrukturu, promovisati potencijale za ulaganja u poslovnim zonama i preduzeti mjere za poboljšanje kvalifikacione strukt</w:t>
      </w:r>
      <w:r w:rsidR="0062048D">
        <w:t xml:space="preserve">ure radne snage na tržištu rada. </w:t>
      </w:r>
      <w:r>
        <w:t xml:space="preserve">Oblast poljoprivrede je među najznačajnijim privrednim granama općine Kalesija, sa velikim potencijalom za </w:t>
      </w:r>
      <w:r w:rsidR="0062048D">
        <w:t xml:space="preserve">unapređenje intenziviranjem </w:t>
      </w:r>
      <w:r w:rsidR="0062048D" w:rsidRPr="006A4A95">
        <w:t xml:space="preserve">poljoprivredne proizvodnje i izgradnjom kapaciteta za finalizaciju proizvoda. </w:t>
      </w:r>
    </w:p>
    <w:p w:rsidR="00EC5D5A" w:rsidRPr="006A4A95" w:rsidRDefault="00EC5D5A" w:rsidP="008A2A6D">
      <w:pPr>
        <w:rPr>
          <w:i/>
          <w:lang w:val="hr-HR"/>
        </w:rPr>
      </w:pPr>
      <w:r w:rsidRPr="006A4A95">
        <w:rPr>
          <w:i/>
        </w:rPr>
        <w:t xml:space="preserve">Strateški fokus 2: </w:t>
      </w:r>
      <w:r w:rsidR="00BF3B42" w:rsidRPr="006A4A95">
        <w:rPr>
          <w:i/>
          <w:lang w:val="hr-HR"/>
        </w:rPr>
        <w:t>Omogućavanje brzog privrednog rasta i masovno zapošljavanje</w:t>
      </w:r>
    </w:p>
    <w:p w:rsidR="00D57A55" w:rsidRPr="006A4A95" w:rsidRDefault="0062048D" w:rsidP="008A2A6D">
      <w:pPr>
        <w:rPr>
          <w:lang w:val="hr-HR"/>
        </w:rPr>
      </w:pPr>
      <w:r w:rsidRPr="006A4A95">
        <w:rPr>
          <w:lang w:val="hr-HR"/>
        </w:rPr>
        <w:t>Općina Kalesija raspolaže značajnim prirodnim i ljudskim potencijalima za snažniji rast i razvoj. Sa ciljem povećanja stope zaposlenosti, lokalne vlasti imaju interes da aktivno promovišu postojeće prednosti za razvoj preduzeća i da intenziviraju razvoj poslovnih zona sa sadržajima, koji su atraktivni domaćim i stranim investitorima.</w:t>
      </w:r>
    </w:p>
    <w:p w:rsidR="00EC5D5A" w:rsidRPr="006A4A95" w:rsidRDefault="00A573DC" w:rsidP="008A2A6D">
      <w:pPr>
        <w:rPr>
          <w:i/>
        </w:rPr>
      </w:pPr>
      <w:r w:rsidRPr="006A4A95">
        <w:rPr>
          <w:i/>
        </w:rPr>
        <w:t>Strateški fokus 3:</w:t>
      </w:r>
      <w:r w:rsidR="00BF3B42" w:rsidRPr="006A4A95">
        <w:rPr>
          <w:i/>
        </w:rPr>
        <w:t xml:space="preserve"> Efikasnije pružanje administrativnih usluga u oblasti sporta, kulture, obrazovanje, zdravstva i socijalne zaštite</w:t>
      </w:r>
    </w:p>
    <w:p w:rsidR="00E80C56" w:rsidRPr="006A4A95" w:rsidRDefault="00E80C56" w:rsidP="008A2A6D">
      <w:r w:rsidRPr="006A4A95">
        <w:t xml:space="preserve">S obzirom da većinski dio stanovništva živi u ruralnim područjima općine, lokalne vlasti imaju snažno opredjeljenje za uravnotežen razvoj i ravnomjernu pokrivenost uslugama stanovništva u urbanim i ruralnim područjima. Stoga će se u narednom periodu nastaviti rad na izgradnji novih i poboljšanju postojećih kapaciteta za pružanje usluga javnog sektora u oblastima administrativnih usluga, sporta, </w:t>
      </w:r>
      <w:r w:rsidRPr="006A4A95">
        <w:lastRenderedPageBreak/>
        <w:t xml:space="preserve">kulture, obrazovanja, zdravstva i socijalne zaštite. Naročita pažnja posvetiće se poboljšanju položaja socijalno ugroženih kategorija stanovništva i svih osjetljivih grupa. </w:t>
      </w:r>
    </w:p>
    <w:p w:rsidR="00EC5D5A" w:rsidRPr="006A4A95" w:rsidRDefault="00EC5D5A" w:rsidP="008A2A6D">
      <w:pPr>
        <w:rPr>
          <w:i/>
        </w:rPr>
      </w:pPr>
      <w:r w:rsidRPr="006A4A95">
        <w:rPr>
          <w:i/>
        </w:rPr>
        <w:t xml:space="preserve">Strateški fokus 4: </w:t>
      </w:r>
      <w:r w:rsidR="00A573DC" w:rsidRPr="006A4A95">
        <w:rPr>
          <w:i/>
        </w:rPr>
        <w:t>U</w:t>
      </w:r>
      <w:r w:rsidRPr="006A4A95">
        <w:rPr>
          <w:i/>
        </w:rPr>
        <w:t>napređenje zaštite okoliša i smanjenje rizika od poplave i klizišta</w:t>
      </w:r>
    </w:p>
    <w:p w:rsidR="00CC0E40" w:rsidRPr="006A4A95" w:rsidRDefault="00CC0E40" w:rsidP="008A2A6D">
      <w:r w:rsidRPr="006A4A95">
        <w:t xml:space="preserve">Trenutno se na području općine ne vrše redovna mjerenja kvaliteta zraka, vode i tla. Međutim, izvjesno je da postoje različiti oblici zagađenja i u narednom strateškom periodu preduzeće se napori za poboljšanje svih segmenata okoliša. Ugroženost od poplava i klizišta tretira se kao poseban rizik po okoliš, koji je povezan za </w:t>
      </w:r>
      <w:r w:rsidR="009C58AD" w:rsidRPr="006A4A95">
        <w:t>značajnim rizicima za život i zdravlje ljudi i materijalnim štetama. Stoga će se p</w:t>
      </w:r>
      <w:r w:rsidRPr="006A4A95">
        <w:t xml:space="preserve">oseban fokus </w:t>
      </w:r>
      <w:r w:rsidR="009C58AD" w:rsidRPr="006A4A95">
        <w:t>pridavati definisanju i primjeni</w:t>
      </w:r>
      <w:r w:rsidRPr="006A4A95">
        <w:t xml:space="preserve"> mjera i izgradnji kapaciteta svih aktera u društvu za smanjenje rizika od poplava i klizišta</w:t>
      </w:r>
      <w:r w:rsidR="009C58AD" w:rsidRPr="006A4A95">
        <w:t>, odnosno za bržu i kvalitetniju reakciju u slućaju pojave elementarnih nepogoda.</w:t>
      </w:r>
    </w:p>
    <w:p w:rsidR="00A573DC" w:rsidRPr="006A4A95" w:rsidRDefault="007E31F7" w:rsidP="008A2A6D">
      <w:pPr>
        <w:rPr>
          <w:i/>
        </w:rPr>
      </w:pPr>
      <w:r w:rsidRPr="006A4A95">
        <w:rPr>
          <w:i/>
        </w:rPr>
        <w:t xml:space="preserve">Strateški fokus 5: </w:t>
      </w:r>
      <w:r w:rsidR="00BF3B42" w:rsidRPr="006A4A95">
        <w:rPr>
          <w:i/>
        </w:rPr>
        <w:t>Cijelo područje općine pokriveno vodosnadbjevanje, odvodnjom otpadnih voda i odvozom krutog otpada</w:t>
      </w:r>
    </w:p>
    <w:p w:rsidR="00EC5D5A" w:rsidRPr="00687F58" w:rsidRDefault="005C3A7D" w:rsidP="008A2A6D">
      <w:r w:rsidRPr="006A4A95">
        <w:t>Komunalna infrastruktura nije dovoljno razvijena, što uzrokuje probleme za društveni razvoj (niži standard života i loš pristup uslugama) i ugrožava okoliš (prvenstveno usljed zagađenja otpadnim vodama i krutim otpadom). U narednom strateškom periodu aktivno će se ulagati u razvoj infrastrukture u oblasti vodosnabdijevanja, sanitacije i upravljanja otpadom, kao i razvoj svih pratećih tehničkih i ljudskih kapaciteta za kvalitetnije pružanje ovih usluga.</w:t>
      </w:r>
    </w:p>
    <w:p w:rsidR="004233FA" w:rsidRPr="00687F58" w:rsidRDefault="004233FA" w:rsidP="008A2A6D"/>
    <w:p w:rsidR="0050065D" w:rsidRPr="00687F58" w:rsidRDefault="00C2481C" w:rsidP="005C3A7D">
      <w:pPr>
        <w:jc w:val="center"/>
        <w:rPr>
          <w:b/>
          <w:sz w:val="32"/>
        </w:rPr>
      </w:pPr>
      <w:r w:rsidRPr="00687F58">
        <w:rPr>
          <w:b/>
          <w:sz w:val="32"/>
        </w:rPr>
        <w:t>Vizija razvoja općine Kalesija</w:t>
      </w:r>
      <w:r w:rsidR="00932C67" w:rsidRPr="00687F58">
        <w:rPr>
          <w:b/>
          <w:sz w:val="32"/>
        </w:rPr>
        <w:t>:</w:t>
      </w:r>
    </w:p>
    <w:p w:rsidR="00932C67" w:rsidRPr="00687F58" w:rsidRDefault="0050065D" w:rsidP="00C86F0E">
      <w:pPr>
        <w:spacing w:after="0"/>
        <w:jc w:val="center"/>
        <w:rPr>
          <w:b/>
        </w:rPr>
      </w:pPr>
      <w:r w:rsidRPr="00687F58">
        <w:rPr>
          <w:b/>
        </w:rPr>
        <w:t xml:space="preserve">Općina </w:t>
      </w:r>
      <w:r w:rsidR="009B0B4B" w:rsidRPr="00687F58">
        <w:rPr>
          <w:b/>
        </w:rPr>
        <w:t xml:space="preserve">Kalesija prepoznatljiva kao </w:t>
      </w:r>
      <w:r w:rsidRPr="00687F58">
        <w:rPr>
          <w:b/>
        </w:rPr>
        <w:t xml:space="preserve"> sredina</w:t>
      </w:r>
      <w:r w:rsidR="009B0B4B" w:rsidRPr="00687F58">
        <w:rPr>
          <w:b/>
        </w:rPr>
        <w:t xml:space="preserve"> poželjna za strana ulaganja i sredina konkurentskih prednosti i mjesto pogodno za život</w:t>
      </w:r>
    </w:p>
    <w:p w:rsidR="004233FA" w:rsidRPr="00687F58" w:rsidRDefault="00932C67" w:rsidP="008A2A6D">
      <w:r w:rsidRPr="00687F58">
        <w:t xml:space="preserve">Vizijom razvoja opisano je željeno stanje, kojem se dugoročno teži u općini Kalesija. </w:t>
      </w:r>
      <w:r w:rsidR="004233FA" w:rsidRPr="00687F58">
        <w:t>Ostvarenjem vizije razvoja općina Kalesija će postati poljoprivredni centar Tuzlanskog kantona, sa razvijenom gradskom i seoskom infrastrukturom, te bogatim kulturnim i sportskim životom. Općina će kreirati pogodan ambijent za život i rad svih stanovnika, uz efikasnu i uslužnu općinsku administraciju.</w:t>
      </w:r>
    </w:p>
    <w:p w:rsidR="00932C67" w:rsidRPr="00687F58" w:rsidRDefault="00687F58" w:rsidP="008A2A6D">
      <w:r w:rsidRPr="00687F58">
        <w:t xml:space="preserve">Vizija je podloga za definisanje strateških ciljeva razvoja, koji će se ispuniti realizacijom razvojnih mjera i projekata. </w:t>
      </w:r>
      <w:r w:rsidR="00005095" w:rsidRPr="00687F58">
        <w:t>Za strateški period 2018</w:t>
      </w:r>
      <w:r w:rsidR="005C3A7D" w:rsidRPr="00687F58">
        <w:t xml:space="preserve">-2027. godina, lokalni razvoj općine Kalesija rukovodiće se sljedećim strateškim ciljevima: </w:t>
      </w:r>
    </w:p>
    <w:p w:rsidR="00932C67" w:rsidRPr="00687F58" w:rsidRDefault="00932C67" w:rsidP="008A2A6D">
      <w:pPr>
        <w:rPr>
          <w:lang w:val="hr-HR"/>
        </w:rPr>
      </w:pPr>
      <w:r w:rsidRPr="00687F58">
        <w:rPr>
          <w:b/>
          <w:lang w:val="hr-HR"/>
        </w:rPr>
        <w:t xml:space="preserve">Strateški cilj 1: </w:t>
      </w:r>
      <w:r w:rsidR="009C0DBE" w:rsidRPr="00687F58">
        <w:rPr>
          <w:lang w:val="hr-HR"/>
        </w:rPr>
        <w:t>Povećati konkurentnost općine Kalesija za privredni rast i zapošljavanje</w:t>
      </w:r>
    </w:p>
    <w:p w:rsidR="00C2481C" w:rsidRPr="00687F58" w:rsidRDefault="00C2481C" w:rsidP="008A2A6D">
      <w:pPr>
        <w:rPr>
          <w:lang w:val="hr-HR"/>
        </w:rPr>
      </w:pPr>
      <w:r w:rsidRPr="00687F58">
        <w:rPr>
          <w:lang w:val="hr-HR"/>
        </w:rPr>
        <w:t>Definisani indikatori za mjerenje strateškog cilja uključuju:</w:t>
      </w:r>
    </w:p>
    <w:p w:rsidR="00C2481C" w:rsidRPr="00687F58" w:rsidRDefault="00C2481C" w:rsidP="008A2A6D">
      <w:pPr>
        <w:numPr>
          <w:ilvl w:val="0"/>
          <w:numId w:val="19"/>
        </w:numPr>
        <w:spacing w:line="276" w:lineRule="auto"/>
        <w:rPr>
          <w:lang w:val="hr-HR"/>
        </w:rPr>
      </w:pPr>
      <w:r w:rsidRPr="00687F58">
        <w:rPr>
          <w:lang w:val="hr-HR"/>
        </w:rPr>
        <w:t>Broj zaposlenih na području općine veći za 10% do 202</w:t>
      </w:r>
      <w:r w:rsidR="00932C67" w:rsidRPr="00687F58">
        <w:rPr>
          <w:lang w:val="hr-HR"/>
        </w:rPr>
        <w:t>7</w:t>
      </w:r>
      <w:r w:rsidRPr="00687F58">
        <w:rPr>
          <w:lang w:val="hr-HR"/>
        </w:rPr>
        <w:t>. u odnosu na 201</w:t>
      </w:r>
      <w:r w:rsidR="00932C67" w:rsidRPr="00687F58">
        <w:rPr>
          <w:lang w:val="hr-HR"/>
        </w:rPr>
        <w:t>7</w:t>
      </w:r>
      <w:r w:rsidRPr="00687F58">
        <w:rPr>
          <w:lang w:val="hr-HR"/>
        </w:rPr>
        <w:t xml:space="preserve">. </w:t>
      </w:r>
    </w:p>
    <w:p w:rsidR="00212402" w:rsidRPr="00687F58" w:rsidRDefault="00C2481C" w:rsidP="008A2A6D">
      <w:pPr>
        <w:numPr>
          <w:ilvl w:val="0"/>
          <w:numId w:val="19"/>
        </w:numPr>
        <w:spacing w:line="276" w:lineRule="auto"/>
        <w:rPr>
          <w:lang w:val="hr-HR"/>
        </w:rPr>
      </w:pPr>
      <w:r w:rsidRPr="00687F58">
        <w:rPr>
          <w:lang w:val="hr-HR"/>
        </w:rPr>
        <w:t xml:space="preserve">Broj poslovnih subjekata na području općine </w:t>
      </w:r>
      <w:r w:rsidR="00932C67" w:rsidRPr="00687F58">
        <w:rPr>
          <w:lang w:val="hr-HR"/>
        </w:rPr>
        <w:t>Kalesija</w:t>
      </w:r>
      <w:r w:rsidRPr="00687F58">
        <w:rPr>
          <w:lang w:val="hr-HR"/>
        </w:rPr>
        <w:t xml:space="preserve"> veći za </w:t>
      </w:r>
      <w:r w:rsidR="00932C67" w:rsidRPr="00687F58">
        <w:rPr>
          <w:lang w:val="hr-HR"/>
        </w:rPr>
        <w:t>10</w:t>
      </w:r>
      <w:r w:rsidRPr="00687F58">
        <w:rPr>
          <w:lang w:val="hr-HR"/>
        </w:rPr>
        <w:t>% do 202</w:t>
      </w:r>
      <w:r w:rsidR="00932C67" w:rsidRPr="00687F58">
        <w:rPr>
          <w:lang w:val="hr-HR"/>
        </w:rPr>
        <w:t>7</w:t>
      </w:r>
      <w:r w:rsidRPr="00687F58">
        <w:rPr>
          <w:lang w:val="hr-HR"/>
        </w:rPr>
        <w:t>. u odnosu na 201</w:t>
      </w:r>
      <w:r w:rsidR="00932C67" w:rsidRPr="00687F58">
        <w:rPr>
          <w:lang w:val="hr-HR"/>
        </w:rPr>
        <w:t>7</w:t>
      </w:r>
      <w:r w:rsidRPr="00687F58">
        <w:rPr>
          <w:lang w:val="hr-HR"/>
        </w:rPr>
        <w:t>.</w:t>
      </w:r>
    </w:p>
    <w:p w:rsidR="009C0DBE" w:rsidRPr="00687F58" w:rsidRDefault="00C2481C" w:rsidP="008A2A6D">
      <w:pPr>
        <w:rPr>
          <w:lang w:val="hr-HR"/>
        </w:rPr>
      </w:pPr>
      <w:r w:rsidRPr="00687F58">
        <w:rPr>
          <w:b/>
          <w:lang w:val="hr-HR"/>
        </w:rPr>
        <w:t xml:space="preserve">Strateški cilj 2: </w:t>
      </w:r>
      <w:r w:rsidR="009C0DBE" w:rsidRPr="00687F58">
        <w:rPr>
          <w:lang w:val="hr-HR"/>
        </w:rPr>
        <w:t>Poboljšati kvalitetu življenja građana općine Kalesija</w:t>
      </w:r>
    </w:p>
    <w:p w:rsidR="00C2481C" w:rsidRPr="00687F58" w:rsidRDefault="00C2481C" w:rsidP="008A2A6D">
      <w:pPr>
        <w:rPr>
          <w:lang w:val="hr-HR"/>
        </w:rPr>
      </w:pPr>
      <w:r w:rsidRPr="00687F58">
        <w:rPr>
          <w:lang w:val="hr-HR"/>
        </w:rPr>
        <w:t>Definisani indikatori za mjerenje strateškog cilja uključuju:</w:t>
      </w:r>
    </w:p>
    <w:p w:rsidR="00A573DC" w:rsidRPr="00687F58" w:rsidRDefault="00A573DC" w:rsidP="008A2A6D">
      <w:pPr>
        <w:numPr>
          <w:ilvl w:val="0"/>
          <w:numId w:val="19"/>
        </w:numPr>
        <w:spacing w:line="276" w:lineRule="auto"/>
        <w:rPr>
          <w:lang w:val="hr-HR"/>
        </w:rPr>
      </w:pPr>
      <w:r w:rsidRPr="00687F58">
        <w:rPr>
          <w:lang w:val="hr-HR"/>
        </w:rPr>
        <w:t>Povećano zadovoljstvo građana administrativnim uslugama za 15% do kraja 2027. godine u odnosu na 2017. godinu;</w:t>
      </w:r>
    </w:p>
    <w:p w:rsidR="00A573DC" w:rsidRPr="00A573DC" w:rsidRDefault="00A573DC" w:rsidP="008A2A6D">
      <w:pPr>
        <w:numPr>
          <w:ilvl w:val="0"/>
          <w:numId w:val="19"/>
        </w:numPr>
        <w:spacing w:line="276" w:lineRule="auto"/>
        <w:rPr>
          <w:lang w:val="hr-HR"/>
        </w:rPr>
      </w:pPr>
      <w:r w:rsidRPr="00A573DC">
        <w:rPr>
          <w:lang w:val="hr-HR"/>
        </w:rPr>
        <w:t>Povećano zadovoljstvo građana uslugama socijalne zaštite za 15% do kraja 2027. godine u odnosu na 2017. godinu;</w:t>
      </w:r>
    </w:p>
    <w:p w:rsidR="00A573DC" w:rsidRPr="00A573DC" w:rsidRDefault="00A573DC" w:rsidP="008A2A6D">
      <w:pPr>
        <w:numPr>
          <w:ilvl w:val="0"/>
          <w:numId w:val="19"/>
        </w:numPr>
        <w:spacing w:line="276" w:lineRule="auto"/>
        <w:rPr>
          <w:lang w:val="hr-HR"/>
        </w:rPr>
      </w:pPr>
      <w:r w:rsidRPr="00A573DC">
        <w:rPr>
          <w:lang w:val="hr-HR"/>
        </w:rPr>
        <w:t>Povećano zadovoljstvo građana uslugama zdravstvene zaštite za 20% do kraja 2027. godine u odnosu na 2017. godinu;</w:t>
      </w:r>
    </w:p>
    <w:p w:rsidR="00212402" w:rsidRPr="00C86F0E" w:rsidRDefault="00A573DC" w:rsidP="008A2A6D">
      <w:pPr>
        <w:numPr>
          <w:ilvl w:val="0"/>
          <w:numId w:val="19"/>
        </w:numPr>
        <w:spacing w:line="276" w:lineRule="auto"/>
        <w:rPr>
          <w:lang w:val="hr-HR"/>
        </w:rPr>
      </w:pPr>
      <w:r w:rsidRPr="00A573DC">
        <w:rPr>
          <w:lang w:val="hr-HR"/>
        </w:rPr>
        <w:t>Povećan udio sredstava iz eksternih izvora za finasiranje projekata za unapređenje društvene infrastrukture za sport i kulturu (sredstva obezbijeđena iz fondova viših nivoa vlasti i međunarodnih organizacija) za 25% mjereno u 2027. godini u odnosu na 2017. godinu</w:t>
      </w:r>
    </w:p>
    <w:p w:rsidR="00B44521" w:rsidRDefault="00C2481C" w:rsidP="008A2A6D">
      <w:r w:rsidRPr="00C54DA5">
        <w:rPr>
          <w:b/>
        </w:rPr>
        <w:t>Strateški cilj 3:</w:t>
      </w:r>
      <w:r w:rsidRPr="00C54DA5">
        <w:t xml:space="preserve"> </w:t>
      </w:r>
      <w:r w:rsidR="00B44521">
        <w:t>Smanjiti zagađenje</w:t>
      </w:r>
      <w:r w:rsidR="00B44521" w:rsidRPr="00B44521">
        <w:t xml:space="preserve"> okoliša i </w:t>
      </w:r>
      <w:r w:rsidR="00B44521">
        <w:t xml:space="preserve">stepen </w:t>
      </w:r>
      <w:r w:rsidR="00B44521" w:rsidRPr="00B44521">
        <w:t>rizik</w:t>
      </w:r>
      <w:r w:rsidR="00B44521">
        <w:t>a</w:t>
      </w:r>
      <w:r w:rsidR="00B44521" w:rsidRPr="00B44521">
        <w:t xml:space="preserve"> od poplave i klizišta</w:t>
      </w:r>
    </w:p>
    <w:p w:rsidR="00212402" w:rsidRPr="00212402" w:rsidRDefault="00212402" w:rsidP="008A2A6D">
      <w:pPr>
        <w:rPr>
          <w:lang w:val="hr-HR"/>
        </w:rPr>
      </w:pPr>
      <w:r>
        <w:rPr>
          <w:lang w:val="hr-HR"/>
        </w:rPr>
        <w:t>Definisani indikatori za mjerenje strateškog cilja uključuju:</w:t>
      </w:r>
    </w:p>
    <w:p w:rsidR="00C2481C" w:rsidRPr="00B44521" w:rsidRDefault="00842717" w:rsidP="008A2A6D">
      <w:pPr>
        <w:pStyle w:val="ListParagraph"/>
        <w:numPr>
          <w:ilvl w:val="0"/>
          <w:numId w:val="21"/>
        </w:numPr>
        <w:rPr>
          <w:lang w:val="hr-HR"/>
        </w:rPr>
      </w:pPr>
      <w:r w:rsidRPr="00B44521">
        <w:rPr>
          <w:lang w:val="hr-HR"/>
        </w:rPr>
        <w:lastRenderedPageBreak/>
        <w:t>Najmanje 4</w:t>
      </w:r>
      <w:r w:rsidR="00C2481C" w:rsidRPr="00B44521">
        <w:rPr>
          <w:lang w:val="hr-HR"/>
        </w:rPr>
        <w:t xml:space="preserve">0% anketiranih stanovnika zadovoljnije stanjem vazduha, zemljišta i vode na području općine </w:t>
      </w:r>
      <w:r w:rsidRPr="00B44521">
        <w:rPr>
          <w:lang w:val="hr-HR"/>
        </w:rPr>
        <w:t>Kalesija</w:t>
      </w:r>
      <w:r w:rsidR="00C2481C" w:rsidRPr="00B44521">
        <w:rPr>
          <w:lang w:val="hr-HR"/>
        </w:rPr>
        <w:t xml:space="preserve"> u 202</w:t>
      </w:r>
      <w:r w:rsidRPr="00B44521">
        <w:rPr>
          <w:lang w:val="hr-HR"/>
        </w:rPr>
        <w:t>7</w:t>
      </w:r>
      <w:r w:rsidR="00C2481C" w:rsidRPr="00B44521">
        <w:rPr>
          <w:lang w:val="hr-HR"/>
        </w:rPr>
        <w:t>. godini u odnosu na 2017. godinu.</w:t>
      </w:r>
    </w:p>
    <w:p w:rsidR="00C2481C" w:rsidRPr="00BC1185" w:rsidRDefault="00C2481C" w:rsidP="008A2A6D">
      <w:pPr>
        <w:numPr>
          <w:ilvl w:val="0"/>
          <w:numId w:val="20"/>
        </w:numPr>
        <w:spacing w:line="276" w:lineRule="auto"/>
        <w:rPr>
          <w:lang w:val="hr-HR"/>
        </w:rPr>
      </w:pPr>
      <w:r w:rsidRPr="00BC1185">
        <w:rPr>
          <w:lang w:val="hr-HR"/>
        </w:rPr>
        <w:t xml:space="preserve">Najmanje </w:t>
      </w:r>
      <w:r w:rsidR="00842717">
        <w:rPr>
          <w:lang w:val="hr-HR"/>
        </w:rPr>
        <w:t>4</w:t>
      </w:r>
      <w:r w:rsidRPr="00BC1185">
        <w:rPr>
          <w:lang w:val="hr-HR"/>
        </w:rPr>
        <w:t xml:space="preserve">0% anketiranih stanovnika zadovoljnije uslugama zbrinjavanja otpada na području općine </w:t>
      </w:r>
      <w:r w:rsidR="00842717">
        <w:rPr>
          <w:lang w:val="hr-HR"/>
        </w:rPr>
        <w:t>Kalesija</w:t>
      </w:r>
      <w:r w:rsidRPr="00BC1185">
        <w:rPr>
          <w:lang w:val="hr-HR"/>
        </w:rPr>
        <w:t xml:space="preserve"> u 202</w:t>
      </w:r>
      <w:r w:rsidR="00842717">
        <w:rPr>
          <w:lang w:val="hr-HR"/>
        </w:rPr>
        <w:t>7</w:t>
      </w:r>
      <w:r w:rsidRPr="00BC1185">
        <w:rPr>
          <w:lang w:val="hr-HR"/>
        </w:rPr>
        <w:t>. godini u odnosu na 2017. godinu.</w:t>
      </w:r>
    </w:p>
    <w:p w:rsidR="00931888" w:rsidRPr="00931888" w:rsidRDefault="00C2481C" w:rsidP="00931888">
      <w:pPr>
        <w:numPr>
          <w:ilvl w:val="0"/>
          <w:numId w:val="20"/>
        </w:numPr>
        <w:spacing w:line="276" w:lineRule="auto"/>
        <w:rPr>
          <w:lang w:val="hr-HR"/>
        </w:rPr>
      </w:pPr>
      <w:r w:rsidRPr="00BC1185">
        <w:rPr>
          <w:lang w:val="hr-HR"/>
        </w:rPr>
        <w:t xml:space="preserve">Najmanje </w:t>
      </w:r>
      <w:r w:rsidR="00842717">
        <w:rPr>
          <w:lang w:val="hr-HR"/>
        </w:rPr>
        <w:t>4</w:t>
      </w:r>
      <w:r w:rsidRPr="00BC1185">
        <w:rPr>
          <w:lang w:val="hr-HR"/>
        </w:rPr>
        <w:t xml:space="preserve">0% anketiranih stanovnika zadovoljnije stepenom zaštite od elementarnih nepogoda na području općine </w:t>
      </w:r>
      <w:r w:rsidR="00842717">
        <w:rPr>
          <w:lang w:val="hr-HR"/>
        </w:rPr>
        <w:t>Kalesija</w:t>
      </w:r>
      <w:r w:rsidRPr="00BC1185">
        <w:rPr>
          <w:lang w:val="hr-HR"/>
        </w:rPr>
        <w:t xml:space="preserve"> u 202</w:t>
      </w:r>
      <w:r w:rsidR="00842717">
        <w:rPr>
          <w:lang w:val="hr-HR"/>
        </w:rPr>
        <w:t>7</w:t>
      </w:r>
      <w:r w:rsidRPr="00BC1185">
        <w:rPr>
          <w:lang w:val="hr-HR"/>
        </w:rPr>
        <w:t>. godini u odnosu na 2017. godinu.</w:t>
      </w:r>
      <w:bookmarkStart w:id="98" w:name="_Toc298390153"/>
      <w:bookmarkStart w:id="99" w:name="_Toc491379771"/>
    </w:p>
    <w:p w:rsidR="003663CA" w:rsidRDefault="003663CA">
      <w:pPr>
        <w:rPr>
          <w:rFonts w:eastAsia="Times New Roman"/>
          <w:b/>
          <w:bCs/>
          <w:color w:val="5B9BD5" w:themeColor="accent1"/>
          <w:kern w:val="32"/>
          <w:sz w:val="32"/>
          <w:szCs w:val="32"/>
        </w:rPr>
      </w:pPr>
      <w:r>
        <w:rPr>
          <w:color w:val="5B9BD5" w:themeColor="accent1"/>
        </w:rPr>
        <w:br w:type="page"/>
      </w:r>
    </w:p>
    <w:p w:rsidR="000E4A04" w:rsidRPr="000B16FF" w:rsidRDefault="00881DF1" w:rsidP="00CC5E7D">
      <w:pPr>
        <w:pStyle w:val="Heading1"/>
        <w:rPr>
          <w:color w:val="5B9BD5" w:themeColor="accent1"/>
        </w:rPr>
      </w:pPr>
      <w:bookmarkStart w:id="100" w:name="_Toc500140046"/>
      <w:r w:rsidRPr="000B16FF">
        <w:rPr>
          <w:color w:val="5B9BD5" w:themeColor="accent1"/>
        </w:rPr>
        <w:lastRenderedPageBreak/>
        <w:t>V</w:t>
      </w:r>
      <w:r w:rsidRPr="000B16FF">
        <w:rPr>
          <w:color w:val="5B9BD5" w:themeColor="accent1"/>
        </w:rPr>
        <w:tab/>
        <w:t>Sektorski razvojni planovi</w:t>
      </w:r>
      <w:bookmarkEnd w:id="98"/>
      <w:bookmarkEnd w:id="99"/>
      <w:bookmarkEnd w:id="100"/>
    </w:p>
    <w:p w:rsidR="00CC5E7D" w:rsidRDefault="00881DF1" w:rsidP="00931888">
      <w:pPr>
        <w:pStyle w:val="Heading2"/>
      </w:pPr>
      <w:bookmarkStart w:id="101" w:name="_Toc491379772"/>
      <w:bookmarkStart w:id="102" w:name="_Toc500140047"/>
      <w:r w:rsidRPr="00881DF1">
        <w:t xml:space="preserve">V.1. Usklađenost, </w:t>
      </w:r>
      <w:r w:rsidRPr="00C86F0E">
        <w:t>komplementarnost</w:t>
      </w:r>
      <w:r w:rsidRPr="00881DF1">
        <w:t xml:space="preserve"> i međusobni uticaj sektorskih planova</w:t>
      </w:r>
      <w:bookmarkEnd w:id="101"/>
      <w:bookmarkEnd w:id="102"/>
    </w:p>
    <w:p w:rsidR="00CC5E7D" w:rsidRDefault="00CC5E7D" w:rsidP="008A2A6D">
      <w:pPr>
        <w:rPr>
          <w:color w:val="000000"/>
          <w:sz w:val="27"/>
          <w:szCs w:val="27"/>
        </w:rPr>
      </w:pPr>
      <w:r w:rsidRPr="00CC5E7D">
        <w:t>Prilikom izrade sektorskih razvojnih planova poseban fokus je stavljen na komplementarost svakog od planova te se vodilo računa da implementacija jednog plana nema negativan utjecaj na implementaciju ostala dva sektorska plana.</w:t>
      </w:r>
      <w:r w:rsidRPr="00CC5E7D">
        <w:rPr>
          <w:color w:val="000000"/>
          <w:sz w:val="27"/>
          <w:szCs w:val="27"/>
        </w:rPr>
        <w:t xml:space="preserve"> </w:t>
      </w:r>
    </w:p>
    <w:p w:rsidR="00CC5E7D" w:rsidRDefault="00CC5E7D" w:rsidP="008A2A6D">
      <w:pPr>
        <w:rPr>
          <w:color w:val="000000"/>
          <w:szCs w:val="27"/>
        </w:rPr>
      </w:pPr>
      <w:r w:rsidRPr="00CC5E7D">
        <w:rPr>
          <w:color w:val="000000"/>
          <w:szCs w:val="27"/>
        </w:rPr>
        <w:t>Elementi sektorskog plana ekonomskog razvoja usklađeni su sa principima zaštite životne sredine i svakako će imati utjecaj i na društveni razvoj općine. Jačanjem poduzetničke infrastrukture se istovremeno unapređuje i društvena infrastruktura lokalne zajednice, a jačanjem kapaciteta lokalnih poljoprivrednih proizvođača i jačanjem sektora turizma se očekuje podizanje životnog standarda značajnog dijela stanovništva što će imati pozitivan efekat i na društveni razvoj općine.</w:t>
      </w:r>
    </w:p>
    <w:p w:rsidR="00772468" w:rsidRDefault="00CC5E7D" w:rsidP="008A2A6D">
      <w:pPr>
        <w:rPr>
          <w:color w:val="000000"/>
          <w:szCs w:val="27"/>
        </w:rPr>
      </w:pPr>
      <w:r w:rsidRPr="00CC5E7D">
        <w:rPr>
          <w:color w:val="000000"/>
          <w:sz w:val="27"/>
          <w:szCs w:val="27"/>
        </w:rPr>
        <w:t xml:space="preserve"> </w:t>
      </w:r>
      <w:r w:rsidRPr="00CC5E7D">
        <w:rPr>
          <w:color w:val="000000"/>
          <w:szCs w:val="27"/>
        </w:rPr>
        <w:t>Strateške intervencije definisane u sektoru društvenog razvoja općine se prvenstveno odnose na uravnotežen razvoj sruštvene i komunalne infrastrukture u urbanim i ruralnim dijelovima općine te unapređenje položaja socijalno osjetljivih kategorija. Unapređenje komunalne infrastrukture (unapređenje javne rasvjete, rekonstrukcija putne mreže i sl.) pogoduje jačanju poslovne atraktivnosti općine alii zaštiti životne sredine. Nadalje, uspostavljanje efikasnije lokalne uprave i namicanje sredstava iz eksternih izvora namijenjenim za strateške intervencije imaju podjednak utjecaj na implementaciju sva tri sektorska razvojna plana.</w:t>
      </w:r>
    </w:p>
    <w:p w:rsidR="00CC5E7D" w:rsidRPr="000B16FF" w:rsidRDefault="00881DF1" w:rsidP="00931888">
      <w:pPr>
        <w:pStyle w:val="Heading2"/>
      </w:pPr>
      <w:bookmarkStart w:id="103" w:name="_Toc500140048"/>
      <w:bookmarkStart w:id="104" w:name="_Toc298390154"/>
      <w:bookmarkStart w:id="105" w:name="_Toc491379773"/>
      <w:r w:rsidRPr="000B16FF">
        <w:t>V.2.</w:t>
      </w:r>
      <w:r w:rsidR="00CC5E7D" w:rsidRPr="000B16FF">
        <w:t xml:space="preserve"> Plan lokalnog ekonomskog razvoja</w:t>
      </w:r>
      <w:bookmarkEnd w:id="103"/>
      <w:r w:rsidR="00CC5E7D" w:rsidRPr="000B16FF">
        <w:t xml:space="preserve"> </w:t>
      </w:r>
    </w:p>
    <w:p w:rsidR="00881DF1" w:rsidRDefault="00CC5E7D" w:rsidP="008A2A6D">
      <w:bookmarkStart w:id="106" w:name="_Toc298390155"/>
      <w:bookmarkEnd w:id="104"/>
      <w:bookmarkEnd w:id="105"/>
      <w:r w:rsidRPr="00CC5E7D">
        <w:t xml:space="preserve">Osnova za izradu Plana lokalnog ekonomskog razvoja </w:t>
      </w:r>
      <w:r w:rsidR="00E42F1A">
        <w:t xml:space="preserve">je SWOT analiza, </w:t>
      </w:r>
      <w:r w:rsidRPr="00CC5E7D">
        <w:t xml:space="preserve">kao i </w:t>
      </w:r>
      <w:r w:rsidR="00E42F1A">
        <w:t>sve</w:t>
      </w:r>
      <w:r w:rsidRPr="00CC5E7D">
        <w:t xml:space="preserve"> relevantne informacije sadržane u socio-ek</w:t>
      </w:r>
      <w:r w:rsidR="00D122A7">
        <w:t xml:space="preserve">onomskoj analizi i stavovi </w:t>
      </w:r>
      <w:r w:rsidR="00E42F1A">
        <w:t>članova Partnerske grupe</w:t>
      </w:r>
      <w:r w:rsidRPr="00CC5E7D">
        <w:t xml:space="preserve"> općine Kalesije.</w:t>
      </w:r>
    </w:p>
    <w:p w:rsidR="000B16FF" w:rsidRPr="000B16FF" w:rsidRDefault="000B16FF" w:rsidP="008A2A6D">
      <w:pPr>
        <w:jc w:val="left"/>
        <w:rPr>
          <w:rFonts w:eastAsia="Times New Roman"/>
          <w:color w:val="000000"/>
          <w:szCs w:val="24"/>
          <w:lang w:val="en-US"/>
        </w:rPr>
      </w:pPr>
      <w:r w:rsidRPr="000B16FF">
        <w:rPr>
          <w:rFonts w:eastAsia="Times New Roman"/>
          <w:color w:val="000000"/>
          <w:szCs w:val="24"/>
          <w:lang w:val="en-US"/>
        </w:rPr>
        <w:t>Definisani ključni fokusi ekonomskog razvoja općine Kalesije za naredni period su:</w:t>
      </w:r>
    </w:p>
    <w:p w:rsidR="000B16FF" w:rsidRPr="000B16FF" w:rsidRDefault="00D122A7" w:rsidP="008A2A6D">
      <w:pPr>
        <w:pStyle w:val="ListParagraph"/>
        <w:numPr>
          <w:ilvl w:val="0"/>
          <w:numId w:val="25"/>
        </w:numPr>
        <w:jc w:val="left"/>
        <w:rPr>
          <w:color w:val="000000"/>
          <w:szCs w:val="24"/>
          <w:lang w:val="en-US"/>
        </w:rPr>
      </w:pPr>
      <w:r>
        <w:t>Trend rasta broja registrovanih preduzeća / obrt u sektoru uslužnih djelatnosti.</w:t>
      </w:r>
    </w:p>
    <w:p w:rsidR="00D122A7" w:rsidRDefault="00D122A7" w:rsidP="008A2A6D">
      <w:pPr>
        <w:pStyle w:val="ListParagraph"/>
        <w:numPr>
          <w:ilvl w:val="0"/>
          <w:numId w:val="25"/>
        </w:numPr>
        <w:jc w:val="left"/>
        <w:rPr>
          <w:color w:val="000000"/>
          <w:szCs w:val="24"/>
          <w:lang w:val="en-US"/>
        </w:rPr>
      </w:pPr>
      <w:r>
        <w:rPr>
          <w:color w:val="000000"/>
          <w:szCs w:val="24"/>
          <w:lang w:val="en-US"/>
        </w:rPr>
        <w:t>Mala i srednja preduzeća su nosioci privrednog razvoja.</w:t>
      </w:r>
    </w:p>
    <w:p w:rsidR="007E31F7" w:rsidRPr="00C86F0E" w:rsidRDefault="00D122A7" w:rsidP="008A2A6D">
      <w:pPr>
        <w:pStyle w:val="ListParagraph"/>
        <w:numPr>
          <w:ilvl w:val="0"/>
          <w:numId w:val="25"/>
        </w:numPr>
        <w:jc w:val="left"/>
        <w:rPr>
          <w:color w:val="000000"/>
          <w:szCs w:val="24"/>
          <w:lang w:val="en-US"/>
        </w:rPr>
      </w:pPr>
      <w:r>
        <w:rPr>
          <w:color w:val="000000"/>
          <w:szCs w:val="24"/>
          <w:lang w:val="en-US"/>
        </w:rPr>
        <w:t xml:space="preserve">Povećan broj registriranih poljoprivrednih gazdinstva u posljednim godinama </w:t>
      </w:r>
      <w:r w:rsidR="00E42F1A">
        <w:rPr>
          <w:color w:val="000000"/>
          <w:szCs w:val="24"/>
          <w:lang w:val="en-US"/>
        </w:rPr>
        <w:t>i</w:t>
      </w:r>
      <w:r>
        <w:rPr>
          <w:color w:val="000000"/>
          <w:szCs w:val="24"/>
          <w:lang w:val="en-US"/>
        </w:rPr>
        <w:t xml:space="preserve"> rastući interesa stanovnika za tržišnu orijetiranu poljoprivrednu proizvodnju.</w:t>
      </w:r>
      <w:bookmarkStart w:id="107" w:name="_Toc491379774"/>
      <w:bookmarkEnd w:id="106"/>
    </w:p>
    <w:p w:rsidR="00881DF1" w:rsidRPr="00881DF1" w:rsidRDefault="00881DF1" w:rsidP="00AD59CB">
      <w:pPr>
        <w:pStyle w:val="Heading3"/>
      </w:pPr>
      <w:bookmarkStart w:id="108" w:name="_Toc500140049"/>
      <w:r w:rsidRPr="00881DF1">
        <w:t>V.2.1.</w:t>
      </w:r>
      <w:r w:rsidRPr="00881DF1">
        <w:tab/>
        <w:t>Pregled sektorskih ciljeva sa očekivanim ishodima i indikatorima</w:t>
      </w:r>
      <w:bookmarkEnd w:id="107"/>
      <w:bookmarkEnd w:id="10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A0" w:firstRow="1" w:lastRow="0" w:firstColumn="1" w:lastColumn="0" w:noHBand="0" w:noVBand="0"/>
      </w:tblPr>
      <w:tblGrid>
        <w:gridCol w:w="3106"/>
        <w:gridCol w:w="3212"/>
        <w:gridCol w:w="2968"/>
      </w:tblGrid>
      <w:tr w:rsidR="00881DF1" w:rsidRPr="00881DF1" w:rsidTr="00E42F1A">
        <w:tc>
          <w:tcPr>
            <w:tcW w:w="3106" w:type="dxa"/>
            <w:shd w:val="clear" w:color="auto" w:fill="C6D9F1"/>
            <w:vAlign w:val="center"/>
          </w:tcPr>
          <w:p w:rsidR="00881DF1" w:rsidRPr="00881DF1" w:rsidRDefault="00881DF1" w:rsidP="00C4779B">
            <w:pPr>
              <w:jc w:val="left"/>
            </w:pPr>
            <w:r w:rsidRPr="00881DF1">
              <w:t>Sektorski cilj</w:t>
            </w:r>
          </w:p>
        </w:tc>
        <w:tc>
          <w:tcPr>
            <w:tcW w:w="3212" w:type="dxa"/>
            <w:shd w:val="clear" w:color="auto" w:fill="C6D9F1"/>
            <w:vAlign w:val="center"/>
          </w:tcPr>
          <w:p w:rsidR="00881DF1" w:rsidRPr="00881DF1" w:rsidRDefault="00881DF1" w:rsidP="00C4779B">
            <w:pPr>
              <w:jc w:val="left"/>
            </w:pPr>
            <w:r w:rsidRPr="00881DF1">
              <w:t>Očekivani ishod</w:t>
            </w:r>
          </w:p>
        </w:tc>
        <w:tc>
          <w:tcPr>
            <w:tcW w:w="2968" w:type="dxa"/>
            <w:shd w:val="clear" w:color="auto" w:fill="C6D9F1"/>
            <w:vAlign w:val="center"/>
          </w:tcPr>
          <w:p w:rsidR="00881DF1" w:rsidRPr="00881DF1" w:rsidRDefault="00881DF1" w:rsidP="00C4779B">
            <w:pPr>
              <w:jc w:val="left"/>
            </w:pPr>
            <w:r w:rsidRPr="00881DF1">
              <w:t>Indikator</w:t>
            </w:r>
          </w:p>
        </w:tc>
      </w:tr>
      <w:tr w:rsidR="00881DF1" w:rsidRPr="00881DF1" w:rsidTr="00E42F1A">
        <w:tc>
          <w:tcPr>
            <w:tcW w:w="3106" w:type="dxa"/>
            <w:vAlign w:val="center"/>
          </w:tcPr>
          <w:p w:rsidR="00881DF1" w:rsidRPr="00E42F1A" w:rsidRDefault="00FD58CF" w:rsidP="00043B81">
            <w:pPr>
              <w:ind w:left="144"/>
              <w:jc w:val="left"/>
              <w:rPr>
                <w:sz w:val="20"/>
                <w:szCs w:val="20"/>
                <w:lang w:val="it-IT"/>
              </w:rPr>
            </w:pPr>
            <w:r w:rsidRPr="00E42F1A">
              <w:rPr>
                <w:b/>
                <w:sz w:val="20"/>
                <w:szCs w:val="20"/>
                <w:lang w:val="it-IT"/>
              </w:rPr>
              <w:t xml:space="preserve">1.1. </w:t>
            </w:r>
            <w:r w:rsidRPr="00E42F1A">
              <w:rPr>
                <w:sz w:val="20"/>
                <w:szCs w:val="20"/>
                <w:lang w:val="it-IT"/>
              </w:rPr>
              <w:t xml:space="preserve"> </w:t>
            </w:r>
            <w:r w:rsidR="00043B81">
              <w:rPr>
                <w:b/>
                <w:sz w:val="20"/>
                <w:szCs w:val="20"/>
                <w:lang w:val="hr-HR"/>
              </w:rPr>
              <w:t xml:space="preserve"> Unaprijediti </w:t>
            </w:r>
            <w:r w:rsidRPr="00E42F1A">
              <w:rPr>
                <w:b/>
                <w:sz w:val="20"/>
                <w:szCs w:val="20"/>
                <w:lang w:val="sr-Cyrl-BA"/>
              </w:rPr>
              <w:t xml:space="preserve"> infrastruktu</w:t>
            </w:r>
            <w:r w:rsidRPr="00E42F1A">
              <w:rPr>
                <w:b/>
                <w:sz w:val="20"/>
                <w:szCs w:val="20"/>
              </w:rPr>
              <w:t>r</w:t>
            </w:r>
            <w:r w:rsidRPr="00E42F1A">
              <w:rPr>
                <w:b/>
                <w:sz w:val="20"/>
                <w:szCs w:val="20"/>
                <w:lang w:val="sr-Cyrl-BA"/>
              </w:rPr>
              <w:t>u u privrednim zonama</w:t>
            </w:r>
          </w:p>
        </w:tc>
        <w:tc>
          <w:tcPr>
            <w:tcW w:w="3212" w:type="dxa"/>
            <w:vAlign w:val="center"/>
          </w:tcPr>
          <w:p w:rsidR="00FD58CF" w:rsidRPr="00C4779B" w:rsidRDefault="00FD58CF" w:rsidP="00C4779B">
            <w:pPr>
              <w:pStyle w:val="ListParagraph"/>
              <w:numPr>
                <w:ilvl w:val="0"/>
                <w:numId w:val="37"/>
              </w:numPr>
              <w:ind w:left="440" w:hanging="379"/>
              <w:jc w:val="left"/>
              <w:rPr>
                <w:sz w:val="20"/>
                <w:szCs w:val="20"/>
              </w:rPr>
            </w:pPr>
            <w:r w:rsidRPr="00C4779B">
              <w:rPr>
                <w:sz w:val="20"/>
                <w:szCs w:val="20"/>
              </w:rPr>
              <w:t>Povećanje broja novoosnovanih privrednih subjekata za 6% do 2022. godine u odnosu na 2017. godinu;</w:t>
            </w:r>
          </w:p>
          <w:p w:rsidR="00C4779B" w:rsidRPr="00881DF1" w:rsidRDefault="00FD58CF" w:rsidP="00C4779B">
            <w:pPr>
              <w:pStyle w:val="ListParagraph"/>
              <w:numPr>
                <w:ilvl w:val="0"/>
                <w:numId w:val="37"/>
              </w:numPr>
              <w:ind w:left="440" w:hanging="379"/>
              <w:jc w:val="left"/>
            </w:pPr>
            <w:r w:rsidRPr="00C4779B">
              <w:rPr>
                <w:sz w:val="20"/>
                <w:szCs w:val="20"/>
              </w:rPr>
              <w:t>Povećanje broja novozaposlenih za 5% svake godine do 2022. godini u odnosu na 2017. godinu</w:t>
            </w:r>
          </w:p>
        </w:tc>
        <w:tc>
          <w:tcPr>
            <w:tcW w:w="2968" w:type="dxa"/>
            <w:vAlign w:val="center"/>
          </w:tcPr>
          <w:p w:rsidR="00FD58CF" w:rsidRPr="00C4779B" w:rsidRDefault="00FD58CF" w:rsidP="00C4779B">
            <w:pPr>
              <w:pStyle w:val="ListParagraph"/>
              <w:numPr>
                <w:ilvl w:val="0"/>
                <w:numId w:val="35"/>
              </w:numPr>
              <w:ind w:left="619" w:hanging="387"/>
              <w:jc w:val="left"/>
              <w:rPr>
                <w:sz w:val="20"/>
                <w:szCs w:val="20"/>
              </w:rPr>
            </w:pPr>
            <w:r w:rsidRPr="00C4779B">
              <w:rPr>
                <w:sz w:val="20"/>
                <w:szCs w:val="20"/>
              </w:rPr>
              <w:t>Broj novoosnovanih privrednih subjekata;</w:t>
            </w:r>
          </w:p>
          <w:p w:rsidR="00881DF1" w:rsidRPr="00C4779B" w:rsidRDefault="00FD58CF" w:rsidP="00C4779B">
            <w:pPr>
              <w:pStyle w:val="ListParagraph"/>
              <w:numPr>
                <w:ilvl w:val="0"/>
                <w:numId w:val="35"/>
              </w:numPr>
              <w:ind w:left="619" w:hanging="387"/>
              <w:jc w:val="left"/>
            </w:pPr>
            <w:r w:rsidRPr="00C4779B">
              <w:rPr>
                <w:sz w:val="20"/>
                <w:szCs w:val="20"/>
              </w:rPr>
              <w:t>Broj novozaposlenih (godišnje)</w:t>
            </w:r>
          </w:p>
          <w:p w:rsidR="00881DF1" w:rsidRPr="00881DF1" w:rsidRDefault="00881DF1" w:rsidP="00C4779B">
            <w:pPr>
              <w:ind w:left="619" w:hanging="387"/>
              <w:jc w:val="left"/>
            </w:pPr>
          </w:p>
        </w:tc>
      </w:tr>
      <w:tr w:rsidR="00881DF1" w:rsidRPr="00881DF1" w:rsidTr="00E42F1A">
        <w:tc>
          <w:tcPr>
            <w:tcW w:w="3106" w:type="dxa"/>
            <w:vAlign w:val="center"/>
          </w:tcPr>
          <w:p w:rsidR="00881DF1" w:rsidRPr="00043B81" w:rsidRDefault="00FD58CF" w:rsidP="0007280E">
            <w:pPr>
              <w:ind w:left="144"/>
              <w:jc w:val="left"/>
              <w:rPr>
                <w:b/>
                <w:sz w:val="20"/>
                <w:szCs w:val="20"/>
                <w:lang w:val="hr-HR"/>
              </w:rPr>
            </w:pPr>
            <w:r w:rsidRPr="00FD58CF">
              <w:rPr>
                <w:b/>
                <w:smallCaps/>
                <w:sz w:val="20"/>
              </w:rPr>
              <w:t>1.2</w:t>
            </w:r>
            <w:r>
              <w:rPr>
                <w:b/>
                <w:smallCaps/>
                <w:sz w:val="20"/>
              </w:rPr>
              <w:t>.</w:t>
            </w:r>
            <w:r w:rsidRPr="00FD58CF">
              <w:rPr>
                <w:b/>
                <w:smallCaps/>
                <w:sz w:val="20"/>
              </w:rPr>
              <w:t xml:space="preserve"> </w:t>
            </w:r>
            <w:r w:rsidRPr="00FD58CF">
              <w:rPr>
                <w:smallCaps/>
                <w:sz w:val="20"/>
              </w:rPr>
              <w:t xml:space="preserve"> </w:t>
            </w:r>
            <w:r w:rsidR="00043B81">
              <w:rPr>
                <w:b/>
                <w:sz w:val="20"/>
                <w:szCs w:val="20"/>
                <w:lang w:val="hr-HR"/>
              </w:rPr>
              <w:t>Stvoriti uslove za povećanje poljoprivredne proizvodnje u svim granama</w:t>
            </w:r>
          </w:p>
        </w:tc>
        <w:tc>
          <w:tcPr>
            <w:tcW w:w="3212" w:type="dxa"/>
            <w:vAlign w:val="center"/>
          </w:tcPr>
          <w:p w:rsidR="00FD58CF" w:rsidRPr="00C4779B" w:rsidRDefault="00FD58CF" w:rsidP="00C4779B">
            <w:pPr>
              <w:pStyle w:val="ListParagraph"/>
              <w:numPr>
                <w:ilvl w:val="1"/>
                <w:numId w:val="37"/>
              </w:numPr>
              <w:ind w:left="440" w:hanging="379"/>
              <w:jc w:val="left"/>
              <w:rPr>
                <w:sz w:val="20"/>
                <w:szCs w:val="20"/>
              </w:rPr>
            </w:pPr>
            <w:r w:rsidRPr="00C4779B">
              <w:rPr>
                <w:sz w:val="20"/>
                <w:szCs w:val="20"/>
              </w:rPr>
              <w:t>Broj (samo)zaposlenih u poljoprivredi povećan za 10% u 2022. godini u odnosu na 2017. godinu;</w:t>
            </w:r>
          </w:p>
          <w:p w:rsidR="00881DF1" w:rsidRPr="00881DF1" w:rsidRDefault="00FD58CF" w:rsidP="00C4779B">
            <w:pPr>
              <w:pStyle w:val="ListParagraph"/>
              <w:numPr>
                <w:ilvl w:val="0"/>
                <w:numId w:val="37"/>
              </w:numPr>
              <w:ind w:left="440" w:hanging="379"/>
              <w:jc w:val="left"/>
            </w:pPr>
            <w:r w:rsidRPr="00C4779B">
              <w:rPr>
                <w:sz w:val="20"/>
                <w:szCs w:val="20"/>
              </w:rPr>
              <w:t>Godišnji prihod od poljoprivrede povećan za 4% u 2022. godini u odnosu na 2017. godinu</w:t>
            </w:r>
          </w:p>
        </w:tc>
        <w:tc>
          <w:tcPr>
            <w:tcW w:w="2968" w:type="dxa"/>
            <w:vAlign w:val="center"/>
          </w:tcPr>
          <w:p w:rsidR="00FD58CF" w:rsidRPr="00C4779B" w:rsidRDefault="00FD58CF" w:rsidP="00C4779B">
            <w:pPr>
              <w:pStyle w:val="ListParagraph"/>
              <w:numPr>
                <w:ilvl w:val="0"/>
                <w:numId w:val="35"/>
              </w:numPr>
              <w:ind w:left="619" w:hanging="387"/>
              <w:jc w:val="left"/>
              <w:rPr>
                <w:sz w:val="20"/>
                <w:szCs w:val="20"/>
              </w:rPr>
            </w:pPr>
            <w:r w:rsidRPr="00C4779B">
              <w:rPr>
                <w:sz w:val="20"/>
                <w:szCs w:val="20"/>
              </w:rPr>
              <w:t>Broj (samo)zaposlenih u poljoprivredi;</w:t>
            </w:r>
          </w:p>
          <w:p w:rsidR="00881DF1" w:rsidRPr="00881DF1" w:rsidRDefault="00FD58CF" w:rsidP="00C4779B">
            <w:pPr>
              <w:pStyle w:val="ListParagraph"/>
              <w:numPr>
                <w:ilvl w:val="0"/>
                <w:numId w:val="35"/>
              </w:numPr>
              <w:ind w:left="619" w:hanging="387"/>
              <w:jc w:val="left"/>
            </w:pPr>
            <w:r w:rsidRPr="00C4779B">
              <w:rPr>
                <w:sz w:val="20"/>
                <w:szCs w:val="20"/>
              </w:rPr>
              <w:t>Godišnji prihod od poljoprivrede</w:t>
            </w:r>
          </w:p>
        </w:tc>
      </w:tr>
      <w:tr w:rsidR="00881DF1" w:rsidRPr="00881DF1" w:rsidTr="00E42F1A">
        <w:tc>
          <w:tcPr>
            <w:tcW w:w="3106" w:type="dxa"/>
            <w:vAlign w:val="center"/>
          </w:tcPr>
          <w:p w:rsidR="00881DF1" w:rsidRPr="0023350B" w:rsidRDefault="009A134B" w:rsidP="0007280E">
            <w:pPr>
              <w:pStyle w:val="ListParagraph"/>
              <w:numPr>
                <w:ilvl w:val="0"/>
                <w:numId w:val="0"/>
              </w:numPr>
              <w:ind w:left="144"/>
              <w:jc w:val="left"/>
            </w:pPr>
            <w:r w:rsidRPr="009A134B">
              <w:rPr>
                <w:b/>
                <w:sz w:val="20"/>
              </w:rPr>
              <w:t xml:space="preserve">1.3 </w:t>
            </w:r>
            <w:r w:rsidRPr="009A134B">
              <w:rPr>
                <w:sz w:val="20"/>
              </w:rPr>
              <w:t xml:space="preserve"> </w:t>
            </w:r>
            <w:r w:rsidRPr="00762C78">
              <w:rPr>
                <w:b/>
                <w:sz w:val="20"/>
                <w:szCs w:val="20"/>
                <w:lang w:val="sr-Cyrl-BA"/>
              </w:rPr>
              <w:t>Poveća</w:t>
            </w:r>
            <w:r w:rsidR="001A3B2C">
              <w:rPr>
                <w:b/>
                <w:sz w:val="20"/>
                <w:szCs w:val="20"/>
                <w:lang w:val="bs-Latn-BA"/>
              </w:rPr>
              <w:t>ti</w:t>
            </w:r>
            <w:r w:rsidRPr="00762C78">
              <w:rPr>
                <w:b/>
                <w:sz w:val="20"/>
                <w:szCs w:val="20"/>
                <w:lang w:val="sr-Cyrl-BA"/>
              </w:rPr>
              <w:t xml:space="preserve"> konkurentnost</w:t>
            </w:r>
            <w:r w:rsidR="001A3B2C">
              <w:rPr>
                <w:b/>
                <w:sz w:val="20"/>
                <w:szCs w:val="20"/>
                <w:lang w:val="bs-Latn-BA"/>
              </w:rPr>
              <w:t xml:space="preserve"> </w:t>
            </w:r>
            <w:r w:rsidR="001A3B2C">
              <w:rPr>
                <w:b/>
                <w:sz w:val="20"/>
                <w:szCs w:val="20"/>
                <w:lang w:val="bs-Latn-BA"/>
              </w:rPr>
              <w:lastRenderedPageBreak/>
              <w:t>privrede</w:t>
            </w:r>
            <w:r w:rsidRPr="00762C78">
              <w:rPr>
                <w:b/>
                <w:sz w:val="20"/>
                <w:szCs w:val="20"/>
                <w:lang w:val="sr-Cyrl-BA"/>
              </w:rPr>
              <w:t xml:space="preserve"> kroz javno-privatno partnerstvo</w:t>
            </w:r>
          </w:p>
        </w:tc>
        <w:tc>
          <w:tcPr>
            <w:tcW w:w="3212" w:type="dxa"/>
            <w:vAlign w:val="center"/>
          </w:tcPr>
          <w:p w:rsidR="00881DF1" w:rsidRPr="00881DF1" w:rsidRDefault="009A134B" w:rsidP="00C4779B">
            <w:pPr>
              <w:pStyle w:val="ListParagraph"/>
              <w:numPr>
                <w:ilvl w:val="0"/>
                <w:numId w:val="37"/>
              </w:numPr>
              <w:ind w:left="440" w:hanging="379"/>
              <w:jc w:val="left"/>
            </w:pPr>
            <w:r w:rsidRPr="00C4779B">
              <w:rPr>
                <w:sz w:val="20"/>
                <w:szCs w:val="20"/>
              </w:rPr>
              <w:lastRenderedPageBreak/>
              <w:t xml:space="preserve">Broj investicija, koje se </w:t>
            </w:r>
            <w:r w:rsidRPr="00C4779B">
              <w:rPr>
                <w:sz w:val="20"/>
                <w:szCs w:val="20"/>
              </w:rPr>
              <w:lastRenderedPageBreak/>
              <w:t>realizuju kroz javno-privatno partnerstvo, na području općine povećan za 10 % u 2022. godini odnosu na 2017. godinu</w:t>
            </w:r>
          </w:p>
        </w:tc>
        <w:tc>
          <w:tcPr>
            <w:tcW w:w="2968" w:type="dxa"/>
            <w:vAlign w:val="center"/>
          </w:tcPr>
          <w:p w:rsidR="00881DF1" w:rsidRPr="00C4779B" w:rsidRDefault="009A134B" w:rsidP="00C4779B">
            <w:pPr>
              <w:pStyle w:val="ListParagraph"/>
              <w:numPr>
                <w:ilvl w:val="0"/>
                <w:numId w:val="35"/>
              </w:numPr>
              <w:ind w:left="619" w:hanging="387"/>
              <w:jc w:val="left"/>
            </w:pPr>
            <w:r w:rsidRPr="00C4779B">
              <w:rPr>
                <w:sz w:val="20"/>
                <w:szCs w:val="20"/>
              </w:rPr>
              <w:lastRenderedPageBreak/>
              <w:t xml:space="preserve">Broj investicija, koje se </w:t>
            </w:r>
            <w:r w:rsidRPr="00C4779B">
              <w:rPr>
                <w:sz w:val="20"/>
                <w:szCs w:val="20"/>
              </w:rPr>
              <w:lastRenderedPageBreak/>
              <w:t>realizuju kroz javno-privatno partnerstvo, na području općine</w:t>
            </w:r>
          </w:p>
        </w:tc>
      </w:tr>
      <w:tr w:rsidR="00D12CEE" w:rsidRPr="00881DF1" w:rsidTr="00E42F1A">
        <w:tc>
          <w:tcPr>
            <w:tcW w:w="3106" w:type="dxa"/>
            <w:vAlign w:val="center"/>
          </w:tcPr>
          <w:p w:rsidR="00D12CEE" w:rsidRPr="009A134B" w:rsidRDefault="00D12CEE" w:rsidP="0007280E">
            <w:pPr>
              <w:pStyle w:val="ListParagraph"/>
              <w:numPr>
                <w:ilvl w:val="0"/>
                <w:numId w:val="0"/>
              </w:numPr>
              <w:ind w:left="144"/>
              <w:jc w:val="left"/>
              <w:rPr>
                <w:b/>
                <w:sz w:val="20"/>
              </w:rPr>
            </w:pPr>
            <w:r>
              <w:rPr>
                <w:b/>
                <w:sz w:val="20"/>
              </w:rPr>
              <w:lastRenderedPageBreak/>
              <w:t xml:space="preserve">1.4  </w:t>
            </w:r>
            <w:r w:rsidR="001A3B2C">
              <w:rPr>
                <w:b/>
                <w:sz w:val="20"/>
              </w:rPr>
              <w:t>Unaprijediti p</w:t>
            </w:r>
            <w:r w:rsidR="001A3B2C">
              <w:rPr>
                <w:b/>
                <w:sz w:val="20"/>
                <w:szCs w:val="20"/>
                <w:lang w:val="sr-Cyrl-BA"/>
              </w:rPr>
              <w:t>romociju</w:t>
            </w:r>
            <w:r w:rsidRPr="00762C78">
              <w:rPr>
                <w:b/>
                <w:sz w:val="20"/>
                <w:szCs w:val="20"/>
                <w:lang w:val="sr-Cyrl-BA"/>
              </w:rPr>
              <w:t xml:space="preserve"> </w:t>
            </w:r>
            <w:r w:rsidR="001A3B2C" w:rsidRPr="00762C78">
              <w:rPr>
                <w:b/>
                <w:sz w:val="20"/>
                <w:szCs w:val="20"/>
                <w:lang w:val="sr-Cyrl-BA"/>
              </w:rPr>
              <w:t xml:space="preserve">kulturnog-historijskog naslijeđa </w:t>
            </w:r>
            <w:r w:rsidRPr="00762C78">
              <w:rPr>
                <w:b/>
                <w:sz w:val="20"/>
                <w:szCs w:val="20"/>
                <w:lang w:val="sr-Cyrl-BA"/>
              </w:rPr>
              <w:t xml:space="preserve">i </w:t>
            </w:r>
            <w:r w:rsidR="001A3B2C">
              <w:rPr>
                <w:b/>
                <w:sz w:val="20"/>
                <w:szCs w:val="20"/>
                <w:lang w:val="bs-Latn-BA"/>
              </w:rPr>
              <w:t>razvoj</w:t>
            </w:r>
            <w:r w:rsidR="001A3B2C">
              <w:rPr>
                <w:b/>
                <w:sz w:val="20"/>
                <w:szCs w:val="20"/>
                <w:lang w:val="sr-Cyrl-BA"/>
              </w:rPr>
              <w:t xml:space="preserve"> turizma</w:t>
            </w:r>
          </w:p>
        </w:tc>
        <w:tc>
          <w:tcPr>
            <w:tcW w:w="3212" w:type="dxa"/>
            <w:vAlign w:val="center"/>
          </w:tcPr>
          <w:p w:rsidR="00D12CEE" w:rsidRPr="00C4779B" w:rsidRDefault="00D12CEE" w:rsidP="00C4779B">
            <w:pPr>
              <w:pStyle w:val="ListParagraph"/>
              <w:numPr>
                <w:ilvl w:val="0"/>
                <w:numId w:val="37"/>
              </w:numPr>
              <w:ind w:left="440" w:hanging="379"/>
              <w:jc w:val="left"/>
              <w:rPr>
                <w:sz w:val="20"/>
                <w:szCs w:val="20"/>
              </w:rPr>
            </w:pPr>
            <w:r w:rsidRPr="00A90708">
              <w:rPr>
                <w:sz w:val="20"/>
                <w:szCs w:val="20"/>
                <w:lang w:val="bs-Latn-BA"/>
              </w:rPr>
              <w:t>Godišnji prihod od turizma povećan za 10% do 2022. godine u odnosu na 2017. godinu</w:t>
            </w:r>
          </w:p>
        </w:tc>
        <w:tc>
          <w:tcPr>
            <w:tcW w:w="2968" w:type="dxa"/>
            <w:vAlign w:val="center"/>
          </w:tcPr>
          <w:p w:rsidR="00D12CEE" w:rsidRPr="00C4779B" w:rsidRDefault="00D12CEE" w:rsidP="00C4779B">
            <w:pPr>
              <w:pStyle w:val="ListParagraph"/>
              <w:numPr>
                <w:ilvl w:val="0"/>
                <w:numId w:val="35"/>
              </w:numPr>
              <w:ind w:left="619" w:hanging="387"/>
              <w:jc w:val="left"/>
              <w:rPr>
                <w:sz w:val="20"/>
                <w:szCs w:val="20"/>
              </w:rPr>
            </w:pPr>
            <w:r w:rsidRPr="00A90708">
              <w:rPr>
                <w:sz w:val="20"/>
                <w:szCs w:val="20"/>
                <w:lang w:val="bs-Latn-BA"/>
              </w:rPr>
              <w:t>Godišnji prihod od turizma povećan za 10% do 2022. godine u odnosu na 2017. godinu</w:t>
            </w:r>
          </w:p>
        </w:tc>
      </w:tr>
    </w:tbl>
    <w:p w:rsidR="00881DF1" w:rsidRDefault="00881DF1" w:rsidP="00C86F0E">
      <w:pPr>
        <w:pStyle w:val="Heading3"/>
      </w:pPr>
      <w:bookmarkStart w:id="109" w:name="_Toc491379775"/>
      <w:bookmarkStart w:id="110" w:name="_Toc500140050"/>
      <w:r w:rsidRPr="00D122A7">
        <w:t xml:space="preserve">V.2.2. Usklađenost sa strateškim </w:t>
      </w:r>
      <w:r w:rsidRPr="00C86F0E">
        <w:t>dokumentima</w:t>
      </w:r>
      <w:r w:rsidRPr="00D122A7">
        <w:t xml:space="preserve"> viših nivoa</w:t>
      </w:r>
      <w:bookmarkEnd w:id="109"/>
      <w:bookmarkEnd w:id="110"/>
    </w:p>
    <w:p w:rsidR="00E42F1A" w:rsidRDefault="00D122A7" w:rsidP="008A2A6D">
      <w:r>
        <w:t>Prilikom izrade sektorski</w:t>
      </w:r>
      <w:r w:rsidR="00E42F1A">
        <w:t>h</w:t>
      </w:r>
      <w:r>
        <w:t xml:space="preserve"> planova razvoja razmatrane su strategije, planovi i zakoni </w:t>
      </w:r>
      <w:r w:rsidR="00E42F1A">
        <w:t>n</w:t>
      </w:r>
      <w:r>
        <w:t xml:space="preserve">a višim nivoima koji direktno ili indirektno mogu utjecati ili utječu na razvoj lokalne zajednice. Strateški pravci su u dobrom dijelu oslonjeni na strategiju razvoja </w:t>
      </w:r>
      <w:r w:rsidR="00E42F1A">
        <w:t>T</w:t>
      </w:r>
      <w:r>
        <w:t>uzlanskog kantona za period 2016-2020 godine.</w:t>
      </w:r>
      <w:r w:rsidR="00A718B9">
        <w:t xml:space="preserve"> Sektorski ciljevi ekonomskog razvoja su </w:t>
      </w:r>
      <w:r w:rsidR="00E42F1A">
        <w:t xml:space="preserve">također </w:t>
      </w:r>
      <w:r w:rsidR="00A718B9">
        <w:t>povezani sa pripadajućim elementima definisani</w:t>
      </w:r>
      <w:r w:rsidR="00E42F1A">
        <w:t>m</w:t>
      </w:r>
      <w:r w:rsidR="00A718B9">
        <w:t xml:space="preserve"> u strategiji razvoja Tuzlanskog kantona. </w:t>
      </w:r>
    </w:p>
    <w:p w:rsidR="0079684A" w:rsidRDefault="006C59A0" w:rsidP="008A2A6D">
      <w:r w:rsidRPr="0079684A">
        <w:t>Strateški</w:t>
      </w:r>
      <w:r w:rsidR="00E42F1A" w:rsidRPr="0079684A">
        <w:t xml:space="preserve"> cilj</w:t>
      </w:r>
      <w:r w:rsidRPr="0079684A">
        <w:t xml:space="preserve"> 1</w:t>
      </w:r>
      <w:r w:rsidR="00E42F1A" w:rsidRPr="0079684A">
        <w:t xml:space="preserve">: </w:t>
      </w:r>
      <w:r w:rsidR="00E42F1A" w:rsidRPr="0079684A">
        <w:rPr>
          <w:i/>
        </w:rPr>
        <w:t>Poveć</w:t>
      </w:r>
      <w:r w:rsidR="00A718B9" w:rsidRPr="0079684A">
        <w:rPr>
          <w:i/>
        </w:rPr>
        <w:t>ati konkurentnost općine Kalesija za privlačenje investitora i intezivniji razvoj poljoprivrede</w:t>
      </w:r>
      <w:r w:rsidR="0007280E">
        <w:rPr>
          <w:i/>
        </w:rPr>
        <w:t xml:space="preserve">, </w:t>
      </w:r>
      <w:r w:rsidR="0007280E" w:rsidRPr="0007280E">
        <w:t xml:space="preserve">te sektorski ciljevi </w:t>
      </w:r>
      <w:r w:rsidR="0007280E">
        <w:rPr>
          <w:i/>
        </w:rPr>
        <w:t xml:space="preserve">1.1. </w:t>
      </w:r>
      <w:r w:rsidR="0007280E" w:rsidRPr="0007280E">
        <w:rPr>
          <w:i/>
        </w:rPr>
        <w:t>Unaprijediti infrastrukturu i poslovanje privrednih subjekata u poslovnim zonama</w:t>
      </w:r>
      <w:r w:rsidR="0007280E">
        <w:rPr>
          <w:i/>
        </w:rPr>
        <w:t xml:space="preserve"> </w:t>
      </w:r>
      <w:r w:rsidR="0007280E" w:rsidRPr="0007280E">
        <w:t>i</w:t>
      </w:r>
      <w:r w:rsidR="0007280E">
        <w:rPr>
          <w:i/>
        </w:rPr>
        <w:t xml:space="preserve"> 1.3.</w:t>
      </w:r>
      <w:r w:rsidR="00A718B9" w:rsidRPr="0079684A">
        <w:t xml:space="preserve"> </w:t>
      </w:r>
      <w:r w:rsidR="0007280E" w:rsidRPr="0007280E">
        <w:rPr>
          <w:i/>
        </w:rPr>
        <w:t xml:space="preserve">Povećanje konkurentnosti kroz javno-privatno partnerstvo </w:t>
      </w:r>
      <w:r w:rsidR="0007280E">
        <w:t xml:space="preserve">u Strategiji razvoja općine Kalesija </w:t>
      </w:r>
      <w:r w:rsidRPr="0079684A">
        <w:t>oslanja</w:t>
      </w:r>
      <w:r w:rsidR="0007280E">
        <w:t>ju</w:t>
      </w:r>
      <w:r w:rsidRPr="0079684A">
        <w:t xml:space="preserve"> se na stratešk</w:t>
      </w:r>
      <w:r w:rsidR="0079684A" w:rsidRPr="0079684A">
        <w:t>i</w:t>
      </w:r>
      <w:r w:rsidRPr="0079684A">
        <w:t xml:space="preserve"> cilj</w:t>
      </w:r>
      <w:r w:rsidR="0079684A" w:rsidRPr="0079684A">
        <w:t xml:space="preserve"> 1</w:t>
      </w:r>
      <w:r w:rsidRPr="0079684A">
        <w:t xml:space="preserve"> u </w:t>
      </w:r>
      <w:r w:rsidR="00A718B9" w:rsidRPr="0079684A">
        <w:t>Stra</w:t>
      </w:r>
      <w:r w:rsidRPr="0079684A">
        <w:t>tegiji razvoja Tuznskog kantona</w:t>
      </w:r>
      <w:r w:rsidR="0079684A" w:rsidRPr="0079684A">
        <w:t xml:space="preserve">: </w:t>
      </w:r>
      <w:r w:rsidR="0079684A" w:rsidRPr="0079684A">
        <w:rPr>
          <w:i/>
        </w:rPr>
        <w:t>Osigurati stabilnost i prosperitet razvoja privrede Tuzlanskog kantona</w:t>
      </w:r>
      <w:r w:rsidR="0079684A" w:rsidRPr="0079684A">
        <w:t>.</w:t>
      </w:r>
    </w:p>
    <w:p w:rsidR="00A718B9" w:rsidRDefault="00A718B9" w:rsidP="008A2A6D">
      <w:r>
        <w:t xml:space="preserve">Sektorski cilj </w:t>
      </w:r>
      <w:r w:rsidR="0007280E">
        <w:t>1.</w:t>
      </w:r>
      <w:r>
        <w:t>2</w:t>
      </w:r>
      <w:r w:rsidR="0007280E">
        <w:t>. u Strategiji razvoja općine Kalesija</w:t>
      </w:r>
      <w:r>
        <w:t xml:space="preserve">: </w:t>
      </w:r>
      <w:r w:rsidRPr="006C59A0">
        <w:rPr>
          <w:i/>
        </w:rPr>
        <w:t>Podrška edukacijama, promociji poljopriv</w:t>
      </w:r>
      <w:r w:rsidR="0079684A">
        <w:rPr>
          <w:i/>
        </w:rPr>
        <w:t>rede i stvaranje uslova za poveć</w:t>
      </w:r>
      <w:r w:rsidRPr="006C59A0">
        <w:rPr>
          <w:i/>
        </w:rPr>
        <w:t>anj</w:t>
      </w:r>
      <w:r w:rsidR="0079684A">
        <w:rPr>
          <w:i/>
        </w:rPr>
        <w:t>e</w:t>
      </w:r>
      <w:r w:rsidRPr="006C59A0">
        <w:rPr>
          <w:i/>
        </w:rPr>
        <w:t xml:space="preserve"> poljoprivredne proizvodnje u svim granama</w:t>
      </w:r>
      <w:r>
        <w:t xml:space="preserve"> je u skladu sa prioritet</w:t>
      </w:r>
      <w:r w:rsidR="006C59A0">
        <w:t>om</w:t>
      </w:r>
      <w:r>
        <w:t xml:space="preserve"> 2. </w:t>
      </w:r>
      <w:r w:rsidRPr="006C59A0">
        <w:rPr>
          <w:i/>
        </w:rPr>
        <w:t xml:space="preserve">Jačanje konkurentnosti </w:t>
      </w:r>
      <w:r w:rsidR="006C59A0" w:rsidRPr="006C59A0">
        <w:rPr>
          <w:i/>
        </w:rPr>
        <w:t xml:space="preserve">sektora poljoprivrede </w:t>
      </w:r>
      <w:r w:rsidR="006C59A0">
        <w:t>u Strategiji razvoja TK.</w:t>
      </w:r>
    </w:p>
    <w:p w:rsidR="00881DF1" w:rsidRDefault="00881DF1" w:rsidP="00C86F0E">
      <w:pPr>
        <w:pStyle w:val="Heading3"/>
      </w:pPr>
      <w:bookmarkStart w:id="111" w:name="_Toc491379776"/>
      <w:bookmarkStart w:id="112" w:name="_Toc500140051"/>
      <w:r w:rsidRPr="00881DF1">
        <w:t xml:space="preserve">V.2.3. Inicijative </w:t>
      </w:r>
      <w:r w:rsidRPr="00C86F0E">
        <w:t>međuopćinske</w:t>
      </w:r>
      <w:r w:rsidRPr="00881DF1">
        <w:t xml:space="preserve"> saradnje</w:t>
      </w:r>
      <w:bookmarkEnd w:id="111"/>
      <w:bookmarkEnd w:id="112"/>
      <w:r w:rsidRPr="00881DF1">
        <w:t xml:space="preserve"> </w:t>
      </w:r>
    </w:p>
    <w:p w:rsidR="00334855" w:rsidRPr="00881DF1" w:rsidRDefault="004D61F2" w:rsidP="008A2A6D">
      <w:r>
        <w:t xml:space="preserve">Saradnja sa subjektima iz susjednih lokalnih zajednica </w:t>
      </w:r>
      <w:r w:rsidR="00A94DA2">
        <w:t>u oblasti ekonomskog razvoja se prije svega odnos</w:t>
      </w:r>
      <w:r w:rsidR="0065295D">
        <w:t>i</w:t>
      </w:r>
      <w:r w:rsidR="00A94DA2">
        <w:t xml:space="preserve"> na unap</w:t>
      </w:r>
      <w:r w:rsidR="008B4ACB">
        <w:t xml:space="preserve">ređenje investicione </w:t>
      </w:r>
      <w:r w:rsidR="00A94DA2">
        <w:t>i poslovne atraktivnosti općine</w:t>
      </w:r>
      <w:r w:rsidR="008B4ACB">
        <w:t xml:space="preserve">. </w:t>
      </w:r>
      <w:r w:rsidR="00A94DA2">
        <w:t xml:space="preserve">Ključna mogućnost za </w:t>
      </w:r>
      <w:r w:rsidR="008B4ACB">
        <w:t xml:space="preserve">primjenu međuopćinske saradnje </w:t>
      </w:r>
      <w:r w:rsidR="00A94DA2">
        <w:t>za jačanje ekonomskog razvoja općine se odnosi na iskorištavanje potencijala Međ</w:t>
      </w:r>
      <w:r w:rsidR="003815A7">
        <w:t>unarodnog aerodroma Tuzla (MAT) koji je pod upravitelj</w:t>
      </w:r>
      <w:r w:rsidR="0065295D">
        <w:t>stv</w:t>
      </w:r>
      <w:r w:rsidR="003815A7">
        <w:t>om Vlade Tuzlanskog kantona. Pored navedenog koncepta međuopćinska saradnj</w:t>
      </w:r>
      <w:r w:rsidR="0065295D">
        <w:t>a</w:t>
      </w:r>
      <w:r w:rsidR="003815A7">
        <w:t xml:space="preserve"> se može ogledati i kroz zajednički nastup na tržištu privrednih subjekata iz različitih općina,</w:t>
      </w:r>
      <w:r w:rsidR="0065295D">
        <w:t xml:space="preserve"> </w:t>
      </w:r>
      <w:r w:rsidR="003815A7">
        <w:t>uspostave regionalnih otkupnih stanica</w:t>
      </w:r>
      <w:r w:rsidR="0065295D">
        <w:t>, i slično</w:t>
      </w:r>
      <w:r w:rsidR="003815A7">
        <w:t>.</w:t>
      </w:r>
    </w:p>
    <w:p w:rsidR="00881DF1" w:rsidRDefault="00881DF1" w:rsidP="00AD59CB">
      <w:pPr>
        <w:pStyle w:val="Heading3"/>
      </w:pPr>
      <w:bookmarkStart w:id="113" w:name="_Toc298390157"/>
      <w:bookmarkStart w:id="114" w:name="_Toc491379777"/>
      <w:bookmarkStart w:id="115" w:name="_Toc500140052"/>
      <w:r w:rsidRPr="00881DF1">
        <w:t>V.2.4.</w:t>
      </w:r>
      <w:r w:rsidRPr="00881DF1">
        <w:tab/>
        <w:t>Programi, projekti i mjere</w:t>
      </w:r>
      <w:bookmarkEnd w:id="113"/>
      <w:bookmarkEnd w:id="114"/>
      <w:bookmarkEnd w:id="115"/>
    </w:p>
    <w:p w:rsidR="00C4779B" w:rsidRDefault="003815A7" w:rsidP="008A2A6D">
      <w:r w:rsidRPr="00881DF1">
        <w:t>Za realizaciju plana ekonoms</w:t>
      </w:r>
      <w:r>
        <w:t xml:space="preserve">kog razvoja općine Kalesija </w:t>
      </w:r>
      <w:r w:rsidR="008B4ACB">
        <w:t xml:space="preserve">definisano je 21 </w:t>
      </w:r>
      <w:r w:rsidRPr="00881DF1">
        <w:t>projekata i mjera grupisanih u</w:t>
      </w:r>
      <w:r w:rsidR="009E6832">
        <w:t xml:space="preserve"> 7</w:t>
      </w:r>
      <w:bookmarkStart w:id="116" w:name="_Toc270073681"/>
      <w:r w:rsidR="0065295D">
        <w:t xml:space="preserve"> programa:</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4082"/>
        <w:gridCol w:w="5209"/>
      </w:tblGrid>
      <w:tr w:rsidR="00881DF1" w:rsidRPr="00881DF1" w:rsidTr="00C86F0E">
        <w:tc>
          <w:tcPr>
            <w:tcW w:w="4082" w:type="dxa"/>
            <w:shd w:val="clear" w:color="auto" w:fill="BDD6EE" w:themeFill="accent1" w:themeFillTint="66"/>
            <w:vAlign w:val="center"/>
          </w:tcPr>
          <w:p w:rsidR="00881DF1" w:rsidRPr="0065295D" w:rsidRDefault="00881DF1" w:rsidP="0065295D">
            <w:pPr>
              <w:spacing w:after="0"/>
              <w:jc w:val="center"/>
              <w:rPr>
                <w:b/>
              </w:rPr>
            </w:pPr>
            <w:r w:rsidRPr="0065295D">
              <w:rPr>
                <w:b/>
              </w:rPr>
              <w:t>PROGRAM</w:t>
            </w:r>
          </w:p>
        </w:tc>
        <w:tc>
          <w:tcPr>
            <w:tcW w:w="5209" w:type="dxa"/>
            <w:shd w:val="clear" w:color="auto" w:fill="BDD6EE" w:themeFill="accent1" w:themeFillTint="66"/>
            <w:vAlign w:val="center"/>
          </w:tcPr>
          <w:p w:rsidR="00881DF1" w:rsidRPr="009A134B" w:rsidRDefault="00881DF1" w:rsidP="0065295D">
            <w:pPr>
              <w:pStyle w:val="ListParagraph"/>
              <w:numPr>
                <w:ilvl w:val="0"/>
                <w:numId w:val="0"/>
              </w:numPr>
              <w:spacing w:after="0"/>
              <w:ind w:left="720"/>
              <w:jc w:val="center"/>
              <w:rPr>
                <w:b/>
              </w:rPr>
            </w:pPr>
            <w:r w:rsidRPr="009A134B">
              <w:rPr>
                <w:b/>
              </w:rPr>
              <w:t>MJERA/</w:t>
            </w:r>
            <w:r w:rsidR="0065295D">
              <w:rPr>
                <w:b/>
              </w:rPr>
              <w:t xml:space="preserve"> </w:t>
            </w:r>
            <w:r w:rsidRPr="009A134B">
              <w:rPr>
                <w:b/>
              </w:rPr>
              <w:t>PROJEKAT</w:t>
            </w:r>
          </w:p>
        </w:tc>
      </w:tr>
      <w:tr w:rsidR="00607B90" w:rsidRPr="00881DF1" w:rsidTr="00C86F0E">
        <w:tc>
          <w:tcPr>
            <w:tcW w:w="4082" w:type="dxa"/>
            <w:vMerge w:val="restart"/>
            <w:tcBorders>
              <w:right w:val="single" w:sz="4" w:space="0" w:color="auto"/>
            </w:tcBorders>
            <w:shd w:val="clear" w:color="auto" w:fill="auto"/>
            <w:vAlign w:val="center"/>
          </w:tcPr>
          <w:p w:rsidR="00607B90" w:rsidRPr="00FF6B9D" w:rsidRDefault="00607B90" w:rsidP="0065295D">
            <w:pPr>
              <w:pStyle w:val="ListParagraph"/>
              <w:numPr>
                <w:ilvl w:val="0"/>
                <w:numId w:val="0"/>
              </w:numPr>
              <w:spacing w:after="0"/>
              <w:jc w:val="left"/>
              <w:rPr>
                <w:b/>
                <w:sz w:val="20"/>
              </w:rPr>
            </w:pPr>
            <w:r w:rsidRPr="00FF6B9D">
              <w:rPr>
                <w:b/>
                <w:color w:val="000000"/>
                <w:sz w:val="20"/>
                <w:szCs w:val="27"/>
              </w:rPr>
              <w:t>1.1.1. POSLOVANJE PRIVREDNIH SUBJEKATA</w:t>
            </w:r>
          </w:p>
        </w:tc>
        <w:tc>
          <w:tcPr>
            <w:tcW w:w="5209" w:type="dxa"/>
            <w:tcBorders>
              <w:left w:val="single" w:sz="4" w:space="0" w:color="auto"/>
            </w:tcBorders>
            <w:shd w:val="clear" w:color="auto" w:fill="auto"/>
            <w:vAlign w:val="center"/>
          </w:tcPr>
          <w:p w:rsidR="00607B90" w:rsidRPr="00FF6B9D" w:rsidRDefault="00607B90" w:rsidP="0065295D">
            <w:pPr>
              <w:spacing w:after="0"/>
              <w:jc w:val="left"/>
              <w:rPr>
                <w:rFonts w:eastAsia="Times New Roman"/>
                <w:color w:val="000000"/>
                <w:sz w:val="20"/>
                <w:szCs w:val="27"/>
                <w:lang w:val="en-US"/>
              </w:rPr>
            </w:pPr>
            <w:r w:rsidRPr="00FF6B9D">
              <w:rPr>
                <w:rFonts w:eastAsia="Times New Roman"/>
                <w:color w:val="000000"/>
                <w:sz w:val="20"/>
                <w:szCs w:val="27"/>
                <w:lang w:val="en-US"/>
              </w:rPr>
              <w:t>1.1.1.1. Jačanje konkurentnosti na tržištu rada kroz stručno osposobljavanje</w:t>
            </w:r>
          </w:p>
        </w:tc>
      </w:tr>
      <w:tr w:rsidR="00607B90" w:rsidRPr="00881DF1" w:rsidTr="00C86F0E">
        <w:tc>
          <w:tcPr>
            <w:tcW w:w="4082" w:type="dxa"/>
            <w:vMerge/>
            <w:tcBorders>
              <w:right w:val="single" w:sz="4" w:space="0" w:color="auto"/>
            </w:tcBorders>
            <w:shd w:val="clear" w:color="auto" w:fill="auto"/>
            <w:vAlign w:val="center"/>
          </w:tcPr>
          <w:p w:rsidR="00607B90" w:rsidRPr="00881DF1" w:rsidRDefault="00607B90" w:rsidP="0065295D">
            <w:pPr>
              <w:pStyle w:val="ListParagraph"/>
              <w:spacing w:after="0"/>
              <w:ind w:left="0" w:firstLine="0"/>
              <w:jc w:val="left"/>
            </w:pPr>
          </w:p>
        </w:tc>
        <w:tc>
          <w:tcPr>
            <w:tcW w:w="5209" w:type="dxa"/>
            <w:tcBorders>
              <w:left w:val="single" w:sz="4" w:space="0" w:color="auto"/>
              <w:bottom w:val="single" w:sz="4" w:space="0" w:color="auto"/>
            </w:tcBorders>
            <w:shd w:val="clear" w:color="auto" w:fill="auto"/>
            <w:vAlign w:val="center"/>
          </w:tcPr>
          <w:p w:rsidR="00607B90" w:rsidRPr="00FF6B9D" w:rsidRDefault="00607B90" w:rsidP="0065295D">
            <w:pPr>
              <w:spacing w:after="0"/>
              <w:jc w:val="left"/>
              <w:rPr>
                <w:rFonts w:eastAsia="Times New Roman"/>
                <w:color w:val="000000"/>
                <w:sz w:val="20"/>
                <w:szCs w:val="27"/>
                <w:lang w:val="en-US"/>
              </w:rPr>
            </w:pPr>
            <w:r w:rsidRPr="00FF6B9D">
              <w:rPr>
                <w:rFonts w:eastAsia="Times New Roman"/>
                <w:color w:val="000000"/>
                <w:sz w:val="20"/>
                <w:szCs w:val="27"/>
                <w:lang w:val="en-US"/>
              </w:rPr>
              <w:t>1.1.1.2. Projekti izgradnje u infrastrukturama Vukovije Gornje 3 zone, Petrovačko polje, Krušik 2 zone, Tojšići, Kalesija grad, Ćeteništa, Memići 2 zone</w:t>
            </w:r>
          </w:p>
        </w:tc>
      </w:tr>
      <w:tr w:rsidR="00607B90" w:rsidRPr="00881DF1" w:rsidTr="00C86F0E">
        <w:trPr>
          <w:trHeight w:val="165"/>
        </w:trPr>
        <w:tc>
          <w:tcPr>
            <w:tcW w:w="4082" w:type="dxa"/>
            <w:vMerge/>
            <w:tcBorders>
              <w:right w:val="single" w:sz="4" w:space="0" w:color="auto"/>
            </w:tcBorders>
            <w:shd w:val="clear" w:color="auto" w:fill="auto"/>
            <w:vAlign w:val="center"/>
          </w:tcPr>
          <w:p w:rsidR="00607B90" w:rsidRPr="00881DF1" w:rsidRDefault="00607B90" w:rsidP="0065295D">
            <w:pPr>
              <w:pStyle w:val="ListParagraph"/>
              <w:spacing w:after="0"/>
              <w:ind w:left="0" w:firstLine="0"/>
              <w:jc w:val="left"/>
            </w:pPr>
          </w:p>
        </w:tc>
        <w:tc>
          <w:tcPr>
            <w:tcW w:w="5209" w:type="dxa"/>
            <w:tcBorders>
              <w:top w:val="single" w:sz="4" w:space="0" w:color="auto"/>
              <w:left w:val="single" w:sz="4" w:space="0" w:color="auto"/>
              <w:bottom w:val="single" w:sz="4" w:space="0" w:color="auto"/>
            </w:tcBorders>
            <w:shd w:val="clear" w:color="auto" w:fill="auto"/>
            <w:vAlign w:val="center"/>
          </w:tcPr>
          <w:p w:rsidR="00607B90" w:rsidRPr="00FF6B9D" w:rsidRDefault="00607B90" w:rsidP="0065295D">
            <w:pPr>
              <w:spacing w:after="0"/>
              <w:jc w:val="left"/>
              <w:rPr>
                <w:rFonts w:eastAsia="Times New Roman"/>
                <w:color w:val="000000"/>
                <w:sz w:val="20"/>
                <w:szCs w:val="27"/>
                <w:lang w:val="en-US"/>
              </w:rPr>
            </w:pPr>
            <w:r w:rsidRPr="00FF6B9D">
              <w:rPr>
                <w:rFonts w:eastAsia="Times New Roman"/>
                <w:color w:val="000000"/>
                <w:sz w:val="20"/>
                <w:szCs w:val="27"/>
                <w:lang w:val="en-US"/>
              </w:rPr>
              <w:t>1.1.1.3. Podrška mladim putem stipendiranja i kreditiranja</w:t>
            </w:r>
          </w:p>
        </w:tc>
      </w:tr>
      <w:tr w:rsidR="00607B90" w:rsidRPr="00881DF1" w:rsidTr="00C86F0E">
        <w:trPr>
          <w:trHeight w:val="75"/>
        </w:trPr>
        <w:tc>
          <w:tcPr>
            <w:tcW w:w="4082" w:type="dxa"/>
            <w:vMerge/>
            <w:tcBorders>
              <w:right w:val="single" w:sz="4" w:space="0" w:color="auto"/>
            </w:tcBorders>
            <w:shd w:val="clear" w:color="auto" w:fill="auto"/>
            <w:vAlign w:val="center"/>
          </w:tcPr>
          <w:p w:rsidR="00607B90" w:rsidRPr="00881DF1" w:rsidRDefault="00607B90" w:rsidP="0065295D">
            <w:pPr>
              <w:pStyle w:val="ListParagraph"/>
              <w:spacing w:after="0"/>
              <w:ind w:left="0" w:firstLine="0"/>
              <w:jc w:val="left"/>
            </w:pPr>
          </w:p>
        </w:tc>
        <w:tc>
          <w:tcPr>
            <w:tcW w:w="5209" w:type="dxa"/>
            <w:tcBorders>
              <w:top w:val="single" w:sz="4" w:space="0" w:color="auto"/>
              <w:left w:val="single" w:sz="4" w:space="0" w:color="auto"/>
              <w:bottom w:val="single" w:sz="4" w:space="0" w:color="auto"/>
            </w:tcBorders>
            <w:shd w:val="clear" w:color="auto" w:fill="auto"/>
          </w:tcPr>
          <w:p w:rsidR="00607B90" w:rsidRPr="00607B90" w:rsidRDefault="00607B90" w:rsidP="00607B90">
            <w:pPr>
              <w:spacing w:after="0"/>
              <w:jc w:val="left"/>
              <w:rPr>
                <w:rFonts w:eastAsia="Times New Roman"/>
                <w:color w:val="000000"/>
                <w:sz w:val="20"/>
                <w:szCs w:val="27"/>
                <w:lang w:val="en-US"/>
              </w:rPr>
            </w:pPr>
            <w:r w:rsidRPr="00607B90">
              <w:rPr>
                <w:bCs/>
                <w:sz w:val="20"/>
                <w:szCs w:val="20"/>
              </w:rPr>
              <w:t>1.1.1.4. Projekat neformalnog obrazovanja omladine i odraslih</w:t>
            </w:r>
          </w:p>
        </w:tc>
      </w:tr>
      <w:tr w:rsidR="0063192B" w:rsidRPr="00881DF1" w:rsidTr="00C86F0E">
        <w:trPr>
          <w:trHeight w:val="693"/>
        </w:trPr>
        <w:tc>
          <w:tcPr>
            <w:tcW w:w="4082" w:type="dxa"/>
            <w:vMerge w:val="restart"/>
            <w:shd w:val="clear" w:color="auto" w:fill="auto"/>
            <w:vAlign w:val="center"/>
          </w:tcPr>
          <w:p w:rsidR="0063192B" w:rsidRPr="006F34DC" w:rsidRDefault="0063192B" w:rsidP="0065295D">
            <w:pPr>
              <w:pStyle w:val="ListParagraph"/>
              <w:numPr>
                <w:ilvl w:val="0"/>
                <w:numId w:val="0"/>
              </w:numPr>
              <w:spacing w:after="0"/>
              <w:jc w:val="left"/>
              <w:rPr>
                <w:b/>
                <w:sz w:val="20"/>
                <w:lang w:val="hr-HR"/>
              </w:rPr>
            </w:pPr>
            <w:r w:rsidRPr="006F34DC">
              <w:rPr>
                <w:b/>
                <w:color w:val="000000"/>
                <w:sz w:val="20"/>
                <w:szCs w:val="27"/>
              </w:rPr>
              <w:t>1.2.1. EDUKACIJA POLJOPRIVREDNIH PROIZVOĐAČA</w:t>
            </w:r>
          </w:p>
        </w:tc>
        <w:tc>
          <w:tcPr>
            <w:tcW w:w="5209" w:type="dxa"/>
            <w:shd w:val="clear" w:color="auto" w:fill="auto"/>
            <w:vAlign w:val="center"/>
          </w:tcPr>
          <w:p w:rsidR="0063192B" w:rsidRPr="006F34DC" w:rsidRDefault="0063192B" w:rsidP="0065295D">
            <w:pPr>
              <w:spacing w:after="0"/>
              <w:jc w:val="left"/>
              <w:rPr>
                <w:rFonts w:eastAsia="Times New Roman"/>
                <w:color w:val="000000"/>
                <w:sz w:val="20"/>
                <w:szCs w:val="27"/>
                <w:lang w:val="en-US"/>
              </w:rPr>
            </w:pPr>
            <w:r w:rsidRPr="006F34DC">
              <w:rPr>
                <w:rFonts w:eastAsia="Times New Roman"/>
                <w:color w:val="000000"/>
                <w:sz w:val="20"/>
                <w:szCs w:val="27"/>
                <w:lang w:val="en-US"/>
              </w:rPr>
              <w:t>1.2.1.1. Organizovanje edukacija i događaja sa ciljem animiranja poljoprivrednika i unapređenja poljoprivredne djelatnosti</w:t>
            </w:r>
          </w:p>
        </w:tc>
      </w:tr>
      <w:tr w:rsidR="006F34DC" w:rsidRPr="00881DF1" w:rsidTr="00C86F0E">
        <w:tc>
          <w:tcPr>
            <w:tcW w:w="4082" w:type="dxa"/>
            <w:vMerge/>
            <w:shd w:val="clear" w:color="auto" w:fill="auto"/>
            <w:vAlign w:val="center"/>
          </w:tcPr>
          <w:p w:rsidR="006F34DC" w:rsidRPr="00881DF1" w:rsidRDefault="006F34DC" w:rsidP="0065295D">
            <w:pPr>
              <w:pStyle w:val="ListParagraph"/>
              <w:spacing w:after="0"/>
              <w:ind w:left="0" w:firstLine="0"/>
              <w:jc w:val="left"/>
            </w:pPr>
          </w:p>
        </w:tc>
        <w:tc>
          <w:tcPr>
            <w:tcW w:w="5209" w:type="dxa"/>
            <w:tcBorders>
              <w:top w:val="single" w:sz="4" w:space="0" w:color="auto"/>
              <w:bottom w:val="single" w:sz="4" w:space="0" w:color="auto"/>
            </w:tcBorders>
            <w:shd w:val="clear" w:color="auto" w:fill="auto"/>
            <w:vAlign w:val="center"/>
          </w:tcPr>
          <w:p w:rsidR="006F34DC" w:rsidRPr="006F34DC" w:rsidRDefault="006F34DC" w:rsidP="0065295D">
            <w:pPr>
              <w:spacing w:after="0"/>
              <w:jc w:val="left"/>
              <w:rPr>
                <w:rFonts w:eastAsia="Times New Roman"/>
                <w:color w:val="000000"/>
                <w:sz w:val="20"/>
                <w:szCs w:val="27"/>
                <w:lang w:val="en-US"/>
              </w:rPr>
            </w:pPr>
            <w:r w:rsidRPr="006F34DC">
              <w:rPr>
                <w:rFonts w:eastAsia="Times New Roman"/>
                <w:color w:val="000000"/>
                <w:sz w:val="20"/>
                <w:szCs w:val="27"/>
                <w:lang w:val="en-US"/>
              </w:rPr>
              <w:t>1.2.1.2. Projekat edukacije u oblasti proizvodnje voća</w:t>
            </w:r>
          </w:p>
        </w:tc>
      </w:tr>
      <w:tr w:rsidR="006F34DC" w:rsidRPr="00881DF1" w:rsidTr="00C86F0E">
        <w:tc>
          <w:tcPr>
            <w:tcW w:w="4082" w:type="dxa"/>
            <w:vMerge/>
            <w:shd w:val="clear" w:color="auto" w:fill="auto"/>
            <w:vAlign w:val="center"/>
          </w:tcPr>
          <w:p w:rsidR="006F34DC" w:rsidRPr="00881DF1" w:rsidRDefault="006F34DC" w:rsidP="0065295D">
            <w:pPr>
              <w:pStyle w:val="ListParagraph"/>
              <w:spacing w:after="0"/>
              <w:ind w:left="0" w:firstLine="0"/>
              <w:jc w:val="left"/>
            </w:pPr>
          </w:p>
        </w:tc>
        <w:tc>
          <w:tcPr>
            <w:tcW w:w="5209" w:type="dxa"/>
            <w:tcBorders>
              <w:top w:val="single" w:sz="4" w:space="0" w:color="auto"/>
              <w:bottom w:val="single" w:sz="4" w:space="0" w:color="auto"/>
            </w:tcBorders>
            <w:shd w:val="clear" w:color="auto" w:fill="auto"/>
            <w:vAlign w:val="center"/>
          </w:tcPr>
          <w:p w:rsidR="006F34DC" w:rsidRPr="006F34DC" w:rsidRDefault="006F34DC" w:rsidP="0065295D">
            <w:pPr>
              <w:spacing w:after="0"/>
              <w:jc w:val="left"/>
              <w:rPr>
                <w:rFonts w:eastAsia="Times New Roman"/>
                <w:color w:val="000000"/>
                <w:sz w:val="20"/>
                <w:szCs w:val="27"/>
                <w:lang w:val="en-US"/>
              </w:rPr>
            </w:pPr>
            <w:r w:rsidRPr="006F34DC">
              <w:rPr>
                <w:rFonts w:eastAsia="Times New Roman"/>
                <w:color w:val="000000"/>
                <w:sz w:val="20"/>
                <w:szCs w:val="27"/>
                <w:lang w:val="en-US"/>
              </w:rPr>
              <w:t>1.2.1.3. Edukativno – ekonomski projekat u oblasti voćarstva - RASADNIK</w:t>
            </w:r>
          </w:p>
        </w:tc>
      </w:tr>
      <w:tr w:rsidR="006F34DC" w:rsidRPr="00881DF1" w:rsidTr="00C86F0E">
        <w:tc>
          <w:tcPr>
            <w:tcW w:w="4082" w:type="dxa"/>
            <w:vMerge/>
            <w:shd w:val="clear" w:color="auto" w:fill="auto"/>
            <w:vAlign w:val="center"/>
          </w:tcPr>
          <w:p w:rsidR="006F34DC" w:rsidRPr="00881DF1" w:rsidRDefault="006F34DC" w:rsidP="0065295D">
            <w:pPr>
              <w:pStyle w:val="ListParagraph"/>
              <w:spacing w:after="0"/>
              <w:ind w:left="0" w:firstLine="0"/>
              <w:jc w:val="left"/>
            </w:pPr>
          </w:p>
        </w:tc>
        <w:tc>
          <w:tcPr>
            <w:tcW w:w="5209" w:type="dxa"/>
            <w:tcBorders>
              <w:top w:val="single" w:sz="4" w:space="0" w:color="auto"/>
            </w:tcBorders>
            <w:shd w:val="clear" w:color="auto" w:fill="auto"/>
            <w:vAlign w:val="center"/>
          </w:tcPr>
          <w:p w:rsidR="006F34DC" w:rsidRPr="000F7995" w:rsidRDefault="006F34DC" w:rsidP="0065295D">
            <w:pPr>
              <w:spacing w:after="0"/>
              <w:jc w:val="left"/>
              <w:rPr>
                <w:rFonts w:eastAsia="Times New Roman"/>
                <w:color w:val="000000"/>
                <w:sz w:val="20"/>
                <w:szCs w:val="27"/>
                <w:lang w:val="en-US"/>
              </w:rPr>
            </w:pPr>
            <w:r w:rsidRPr="006F34DC">
              <w:rPr>
                <w:rFonts w:eastAsia="Times New Roman"/>
                <w:color w:val="000000"/>
                <w:sz w:val="20"/>
                <w:szCs w:val="27"/>
                <w:lang w:val="en-US"/>
              </w:rPr>
              <w:t>1.2.1.4. Projekti edukacije</w:t>
            </w:r>
            <w:r w:rsidRPr="000F7995">
              <w:rPr>
                <w:rFonts w:eastAsia="Times New Roman"/>
                <w:color w:val="000000"/>
                <w:sz w:val="20"/>
                <w:szCs w:val="27"/>
                <w:lang w:val="en-US"/>
              </w:rPr>
              <w:t xml:space="preserve"> </w:t>
            </w:r>
            <w:r w:rsidRPr="006F34DC">
              <w:rPr>
                <w:rFonts w:eastAsia="Times New Roman"/>
                <w:color w:val="000000"/>
                <w:sz w:val="20"/>
                <w:szCs w:val="27"/>
                <w:lang w:val="en-US"/>
              </w:rPr>
              <w:t>poljoprivrednika i privrednika</w:t>
            </w:r>
            <w:r w:rsidRPr="000F7995">
              <w:rPr>
                <w:rFonts w:eastAsia="Times New Roman"/>
                <w:color w:val="000000"/>
                <w:sz w:val="20"/>
                <w:szCs w:val="27"/>
                <w:lang w:val="en-US"/>
              </w:rPr>
              <w:t xml:space="preserve"> </w:t>
            </w:r>
            <w:r w:rsidRPr="006F34DC">
              <w:rPr>
                <w:rFonts w:eastAsia="Times New Roman"/>
                <w:color w:val="000000"/>
                <w:sz w:val="20"/>
                <w:szCs w:val="27"/>
                <w:lang w:val="en-US"/>
              </w:rPr>
              <w:t>u oblasti novih tehnologija i</w:t>
            </w:r>
            <w:r w:rsidRPr="000F7995">
              <w:rPr>
                <w:rFonts w:eastAsia="Times New Roman"/>
                <w:color w:val="000000"/>
                <w:sz w:val="20"/>
                <w:szCs w:val="27"/>
                <w:lang w:val="en-US"/>
              </w:rPr>
              <w:t xml:space="preserve"> </w:t>
            </w:r>
            <w:r w:rsidRPr="006F34DC">
              <w:rPr>
                <w:rFonts w:eastAsia="Times New Roman"/>
                <w:color w:val="000000"/>
                <w:sz w:val="20"/>
                <w:szCs w:val="27"/>
                <w:lang w:val="en-US"/>
              </w:rPr>
              <w:t>propisa</w:t>
            </w:r>
          </w:p>
        </w:tc>
      </w:tr>
      <w:tr w:rsidR="00881DF1" w:rsidRPr="00881DF1" w:rsidTr="00C86F0E">
        <w:tc>
          <w:tcPr>
            <w:tcW w:w="4082" w:type="dxa"/>
            <w:vMerge w:val="restart"/>
            <w:shd w:val="clear" w:color="auto" w:fill="auto"/>
            <w:vAlign w:val="center"/>
          </w:tcPr>
          <w:p w:rsidR="00881DF1" w:rsidRPr="000F7995" w:rsidRDefault="000F7995" w:rsidP="0065295D">
            <w:pPr>
              <w:pStyle w:val="ListParagraph"/>
              <w:numPr>
                <w:ilvl w:val="0"/>
                <w:numId w:val="0"/>
              </w:numPr>
              <w:spacing w:after="0"/>
              <w:jc w:val="left"/>
              <w:rPr>
                <w:b/>
                <w:lang w:val="hr-HR"/>
              </w:rPr>
            </w:pPr>
            <w:r w:rsidRPr="000F7995">
              <w:rPr>
                <w:b/>
                <w:color w:val="000000"/>
                <w:sz w:val="20"/>
                <w:szCs w:val="27"/>
              </w:rPr>
              <w:t>1.2.2. PODRŠKA INDIVIDUALNIM POLJOPRIVREDNIM PROIZVOĐAČIMA</w:t>
            </w:r>
          </w:p>
        </w:tc>
        <w:tc>
          <w:tcPr>
            <w:tcW w:w="5209" w:type="dxa"/>
            <w:shd w:val="clear" w:color="auto" w:fill="auto"/>
            <w:vAlign w:val="center"/>
          </w:tcPr>
          <w:p w:rsidR="00881DF1" w:rsidRPr="000F7995" w:rsidRDefault="000F7995" w:rsidP="0065295D">
            <w:pPr>
              <w:spacing w:after="0"/>
              <w:jc w:val="left"/>
              <w:rPr>
                <w:rFonts w:eastAsia="Times New Roman"/>
                <w:color w:val="000000"/>
                <w:sz w:val="20"/>
                <w:szCs w:val="27"/>
                <w:lang w:val="en-US"/>
              </w:rPr>
            </w:pPr>
            <w:r w:rsidRPr="000F7995">
              <w:rPr>
                <w:rFonts w:eastAsia="Times New Roman"/>
                <w:color w:val="000000"/>
                <w:sz w:val="20"/>
                <w:szCs w:val="27"/>
                <w:lang w:val="en-US"/>
              </w:rPr>
              <w:t>1.2.2.1. Projekti plasteničke proizvodnje povrća</w:t>
            </w:r>
          </w:p>
        </w:tc>
      </w:tr>
      <w:tr w:rsidR="00881DF1" w:rsidRPr="00881DF1" w:rsidTr="00C86F0E">
        <w:tc>
          <w:tcPr>
            <w:tcW w:w="4082" w:type="dxa"/>
            <w:vMerge/>
            <w:shd w:val="clear" w:color="auto" w:fill="auto"/>
            <w:vAlign w:val="center"/>
          </w:tcPr>
          <w:p w:rsidR="00881DF1" w:rsidRPr="00881DF1" w:rsidRDefault="00881DF1" w:rsidP="0065295D">
            <w:pPr>
              <w:pStyle w:val="ListParagraph"/>
              <w:spacing w:after="0"/>
              <w:ind w:left="0" w:firstLine="0"/>
              <w:jc w:val="left"/>
            </w:pPr>
          </w:p>
        </w:tc>
        <w:tc>
          <w:tcPr>
            <w:tcW w:w="5209" w:type="dxa"/>
            <w:shd w:val="clear" w:color="auto" w:fill="auto"/>
            <w:vAlign w:val="center"/>
          </w:tcPr>
          <w:p w:rsidR="00881DF1" w:rsidRPr="000F7995" w:rsidRDefault="00570A94" w:rsidP="0065295D">
            <w:pPr>
              <w:spacing w:after="0"/>
              <w:jc w:val="left"/>
              <w:rPr>
                <w:rFonts w:eastAsia="Times New Roman"/>
                <w:color w:val="000000"/>
                <w:sz w:val="20"/>
                <w:szCs w:val="27"/>
                <w:lang w:val="en-US"/>
              </w:rPr>
            </w:pPr>
            <w:r w:rsidRPr="000F7995">
              <w:rPr>
                <w:bCs/>
                <w:sz w:val="14"/>
                <w:szCs w:val="20"/>
              </w:rPr>
              <w:t xml:space="preserve"> </w:t>
            </w:r>
            <w:r w:rsidR="000F7995" w:rsidRPr="000F7995">
              <w:rPr>
                <w:color w:val="000000"/>
                <w:sz w:val="20"/>
                <w:szCs w:val="27"/>
              </w:rPr>
              <w:t>1.2.2.2. Izgradnja</w:t>
            </w:r>
            <w:r w:rsidR="000F7995" w:rsidRPr="000F7995">
              <w:rPr>
                <w:rFonts w:eastAsia="Times New Roman"/>
                <w:color w:val="000000"/>
                <w:sz w:val="20"/>
                <w:szCs w:val="27"/>
                <w:lang w:val="en-US"/>
              </w:rPr>
              <w:t xml:space="preserve"> infrastrukture sa ciljem unapređenja otkupa voća i povrća - HLADNJAČA</w:t>
            </w:r>
          </w:p>
        </w:tc>
      </w:tr>
      <w:tr w:rsidR="00881DF1" w:rsidRPr="00881DF1" w:rsidTr="00C86F0E">
        <w:tc>
          <w:tcPr>
            <w:tcW w:w="4082" w:type="dxa"/>
            <w:vMerge w:val="restart"/>
            <w:shd w:val="clear" w:color="auto" w:fill="auto"/>
            <w:vAlign w:val="center"/>
          </w:tcPr>
          <w:p w:rsidR="00881DF1" w:rsidRPr="000F7995" w:rsidRDefault="000F7995" w:rsidP="0065295D">
            <w:pPr>
              <w:pStyle w:val="ListParagraph"/>
              <w:numPr>
                <w:ilvl w:val="0"/>
                <w:numId w:val="0"/>
              </w:numPr>
              <w:spacing w:after="0"/>
              <w:jc w:val="left"/>
              <w:rPr>
                <w:b/>
              </w:rPr>
            </w:pPr>
            <w:r w:rsidRPr="000F7995">
              <w:rPr>
                <w:b/>
                <w:color w:val="000000"/>
                <w:sz w:val="20"/>
                <w:szCs w:val="27"/>
              </w:rPr>
              <w:t>1.2.3. POLJOPRIVREDNA INFRASTRUKTURA</w:t>
            </w:r>
          </w:p>
        </w:tc>
        <w:tc>
          <w:tcPr>
            <w:tcW w:w="5209" w:type="dxa"/>
            <w:shd w:val="clear" w:color="auto" w:fill="auto"/>
            <w:vAlign w:val="center"/>
          </w:tcPr>
          <w:p w:rsidR="00881DF1" w:rsidRPr="000F7995" w:rsidRDefault="000F7995" w:rsidP="0065295D">
            <w:pPr>
              <w:spacing w:after="0"/>
              <w:jc w:val="left"/>
              <w:rPr>
                <w:rFonts w:eastAsia="Times New Roman"/>
                <w:color w:val="000000"/>
                <w:sz w:val="20"/>
                <w:szCs w:val="27"/>
                <w:lang w:val="en-US"/>
              </w:rPr>
            </w:pPr>
            <w:r w:rsidRPr="000F7995">
              <w:rPr>
                <w:rFonts w:eastAsia="Times New Roman"/>
                <w:color w:val="000000"/>
                <w:sz w:val="20"/>
                <w:szCs w:val="27"/>
                <w:lang w:val="en-US"/>
              </w:rPr>
              <w:t>1.2.3.1. Uređenje poljoprivrednog zemljišta sa ciljem stvaranja uslova za unapređenje poljoprivredne proizvodnje</w:t>
            </w:r>
          </w:p>
        </w:tc>
      </w:tr>
      <w:tr w:rsidR="00881DF1" w:rsidRPr="00570A94" w:rsidTr="00C86F0E">
        <w:tc>
          <w:tcPr>
            <w:tcW w:w="4082" w:type="dxa"/>
            <w:vMerge/>
            <w:shd w:val="clear" w:color="auto" w:fill="auto"/>
            <w:vAlign w:val="center"/>
          </w:tcPr>
          <w:p w:rsidR="00881DF1" w:rsidRPr="00881DF1" w:rsidRDefault="00881DF1" w:rsidP="0065295D">
            <w:pPr>
              <w:pStyle w:val="ListParagraph"/>
              <w:spacing w:after="0"/>
              <w:ind w:left="0" w:firstLine="0"/>
              <w:jc w:val="left"/>
            </w:pPr>
          </w:p>
        </w:tc>
        <w:tc>
          <w:tcPr>
            <w:tcW w:w="5209" w:type="dxa"/>
            <w:shd w:val="clear" w:color="auto" w:fill="auto"/>
            <w:vAlign w:val="center"/>
          </w:tcPr>
          <w:p w:rsidR="00881DF1" w:rsidRPr="000F7995" w:rsidRDefault="000F7995" w:rsidP="0065295D">
            <w:pPr>
              <w:spacing w:after="0"/>
              <w:jc w:val="left"/>
              <w:rPr>
                <w:rFonts w:eastAsia="Times New Roman"/>
                <w:color w:val="000000"/>
                <w:sz w:val="20"/>
                <w:szCs w:val="27"/>
                <w:lang w:val="en-US"/>
              </w:rPr>
            </w:pPr>
            <w:r w:rsidRPr="000F7995">
              <w:rPr>
                <w:rFonts w:eastAsia="Times New Roman"/>
                <w:color w:val="000000"/>
                <w:sz w:val="20"/>
                <w:szCs w:val="27"/>
                <w:lang w:val="en-US"/>
              </w:rPr>
              <w:t>1.2.3.2. Projekat izgradnje sistema za navodnjavanje</w:t>
            </w:r>
          </w:p>
        </w:tc>
      </w:tr>
      <w:tr w:rsidR="00570A94" w:rsidRPr="00570A94" w:rsidTr="00C86F0E">
        <w:tc>
          <w:tcPr>
            <w:tcW w:w="4082" w:type="dxa"/>
            <w:vMerge w:val="restart"/>
            <w:shd w:val="clear" w:color="auto" w:fill="auto"/>
            <w:vAlign w:val="center"/>
          </w:tcPr>
          <w:p w:rsidR="00570A94" w:rsidRPr="00E30747" w:rsidRDefault="00E30747" w:rsidP="0065295D">
            <w:pPr>
              <w:pStyle w:val="ListParagraph"/>
              <w:numPr>
                <w:ilvl w:val="0"/>
                <w:numId w:val="0"/>
              </w:numPr>
              <w:spacing w:after="0"/>
              <w:jc w:val="left"/>
              <w:rPr>
                <w:b/>
              </w:rPr>
            </w:pPr>
            <w:r w:rsidRPr="00E30747">
              <w:rPr>
                <w:b/>
                <w:color w:val="000000"/>
                <w:sz w:val="20"/>
                <w:szCs w:val="27"/>
              </w:rPr>
              <w:t>1.3.1. JAVNO – PRIVATNOG PARTNERSTVA U BIZNISU</w:t>
            </w:r>
          </w:p>
        </w:tc>
        <w:tc>
          <w:tcPr>
            <w:tcW w:w="5209" w:type="dxa"/>
            <w:tcBorders>
              <w:bottom w:val="single" w:sz="4" w:space="0" w:color="auto"/>
            </w:tcBorders>
            <w:shd w:val="clear" w:color="auto" w:fill="auto"/>
            <w:vAlign w:val="center"/>
          </w:tcPr>
          <w:p w:rsidR="00570A94" w:rsidRPr="00E30747" w:rsidRDefault="00E30747" w:rsidP="0065295D">
            <w:pPr>
              <w:spacing w:after="0"/>
              <w:jc w:val="left"/>
              <w:rPr>
                <w:bCs/>
                <w:sz w:val="20"/>
                <w:szCs w:val="20"/>
              </w:rPr>
            </w:pPr>
            <w:r w:rsidRPr="00E30747">
              <w:rPr>
                <w:color w:val="000000"/>
                <w:sz w:val="20"/>
                <w:szCs w:val="27"/>
              </w:rPr>
              <w:t>1.3.1.1. IFAD Projekat</w:t>
            </w:r>
          </w:p>
        </w:tc>
      </w:tr>
      <w:tr w:rsidR="00570A94" w:rsidRPr="00570A94" w:rsidTr="00C86F0E">
        <w:tc>
          <w:tcPr>
            <w:tcW w:w="4082" w:type="dxa"/>
            <w:vMerge/>
            <w:shd w:val="clear" w:color="auto" w:fill="auto"/>
            <w:vAlign w:val="center"/>
          </w:tcPr>
          <w:p w:rsidR="00570A94" w:rsidRPr="00762C78" w:rsidRDefault="00570A94" w:rsidP="0065295D">
            <w:pPr>
              <w:pStyle w:val="ListParagraph"/>
              <w:numPr>
                <w:ilvl w:val="0"/>
                <w:numId w:val="0"/>
              </w:numPr>
              <w:spacing w:after="0"/>
              <w:jc w:val="left"/>
              <w:rPr>
                <w:b/>
                <w:noProof/>
                <w:sz w:val="20"/>
                <w:szCs w:val="20"/>
                <w:lang w:val="sr-Cyrl-BA"/>
              </w:rPr>
            </w:pPr>
          </w:p>
        </w:tc>
        <w:tc>
          <w:tcPr>
            <w:tcW w:w="5209" w:type="dxa"/>
            <w:tcBorders>
              <w:top w:val="single" w:sz="4" w:space="0" w:color="auto"/>
              <w:bottom w:val="single" w:sz="4" w:space="0" w:color="auto"/>
            </w:tcBorders>
            <w:shd w:val="clear" w:color="auto" w:fill="auto"/>
            <w:vAlign w:val="center"/>
          </w:tcPr>
          <w:p w:rsidR="00570A94" w:rsidRPr="00E30747" w:rsidRDefault="00E30747" w:rsidP="0065295D">
            <w:pPr>
              <w:spacing w:after="0"/>
              <w:jc w:val="left"/>
              <w:rPr>
                <w:rFonts w:eastAsia="Times New Roman"/>
                <w:color w:val="000000"/>
                <w:sz w:val="20"/>
                <w:szCs w:val="27"/>
                <w:lang w:val="en-US"/>
              </w:rPr>
            </w:pPr>
            <w:r w:rsidRPr="00E30747">
              <w:rPr>
                <w:rFonts w:eastAsia="Times New Roman"/>
                <w:color w:val="000000"/>
                <w:sz w:val="20"/>
                <w:szCs w:val="27"/>
                <w:lang w:val="en-US"/>
              </w:rPr>
              <w:t>1.3.1.2. Projekat izrade studije o mineralnim resursima Općine Kalesija</w:t>
            </w:r>
          </w:p>
        </w:tc>
      </w:tr>
      <w:tr w:rsidR="00A027E6" w:rsidRPr="00570A94" w:rsidTr="00C86F0E">
        <w:tc>
          <w:tcPr>
            <w:tcW w:w="4082" w:type="dxa"/>
            <w:vMerge w:val="restart"/>
            <w:shd w:val="clear" w:color="auto" w:fill="auto"/>
            <w:vAlign w:val="center"/>
          </w:tcPr>
          <w:p w:rsidR="00A027E6" w:rsidRPr="00E30747" w:rsidRDefault="00E30747" w:rsidP="0065295D">
            <w:pPr>
              <w:pStyle w:val="ListParagraph"/>
              <w:numPr>
                <w:ilvl w:val="0"/>
                <w:numId w:val="0"/>
              </w:numPr>
              <w:spacing w:after="0"/>
              <w:jc w:val="left"/>
              <w:rPr>
                <w:b/>
                <w:noProof/>
                <w:sz w:val="20"/>
                <w:szCs w:val="20"/>
                <w:lang w:val="sr-Cyrl-BA"/>
              </w:rPr>
            </w:pPr>
            <w:r w:rsidRPr="00E30747">
              <w:rPr>
                <w:b/>
                <w:color w:val="000000"/>
                <w:sz w:val="20"/>
                <w:szCs w:val="27"/>
              </w:rPr>
              <w:t>1.3.2. SAVREMENI BIZNIS TRENDOVI</w:t>
            </w:r>
          </w:p>
        </w:tc>
        <w:tc>
          <w:tcPr>
            <w:tcW w:w="5209" w:type="dxa"/>
            <w:tcBorders>
              <w:top w:val="single" w:sz="4" w:space="0" w:color="auto"/>
              <w:bottom w:val="single" w:sz="4" w:space="0" w:color="auto"/>
            </w:tcBorders>
            <w:shd w:val="clear" w:color="auto" w:fill="auto"/>
            <w:vAlign w:val="center"/>
          </w:tcPr>
          <w:p w:rsidR="00A027E6" w:rsidRPr="00E30747" w:rsidRDefault="00E30747" w:rsidP="0065295D">
            <w:pPr>
              <w:spacing w:after="0"/>
              <w:jc w:val="left"/>
              <w:rPr>
                <w:rFonts w:eastAsia="Times New Roman"/>
                <w:color w:val="000000"/>
                <w:sz w:val="20"/>
                <w:szCs w:val="27"/>
                <w:lang w:val="en-US"/>
              </w:rPr>
            </w:pPr>
            <w:r w:rsidRPr="00E30747">
              <w:rPr>
                <w:rFonts w:eastAsia="Times New Roman"/>
                <w:color w:val="000000"/>
                <w:sz w:val="20"/>
                <w:szCs w:val="27"/>
                <w:lang w:val="en-US"/>
              </w:rPr>
              <w:t>1.3.2.1. Projekat – Pokretanje biznis centar za mlade u oblasti Informacionih tehnologija</w:t>
            </w:r>
          </w:p>
        </w:tc>
      </w:tr>
      <w:tr w:rsidR="00A027E6" w:rsidRPr="00570A94" w:rsidTr="00C86F0E">
        <w:tc>
          <w:tcPr>
            <w:tcW w:w="4082" w:type="dxa"/>
            <w:vMerge/>
            <w:shd w:val="clear" w:color="auto" w:fill="auto"/>
            <w:vAlign w:val="center"/>
          </w:tcPr>
          <w:p w:rsidR="00A027E6" w:rsidRPr="00762C78" w:rsidRDefault="00A027E6" w:rsidP="0065295D">
            <w:pPr>
              <w:pStyle w:val="ListParagraph"/>
              <w:numPr>
                <w:ilvl w:val="0"/>
                <w:numId w:val="0"/>
              </w:numPr>
              <w:spacing w:after="0"/>
              <w:jc w:val="left"/>
              <w:rPr>
                <w:b/>
                <w:noProof/>
                <w:sz w:val="20"/>
                <w:szCs w:val="20"/>
                <w:lang w:val="sr-Cyrl-BA"/>
              </w:rPr>
            </w:pPr>
          </w:p>
        </w:tc>
        <w:tc>
          <w:tcPr>
            <w:tcW w:w="5209" w:type="dxa"/>
            <w:tcBorders>
              <w:top w:val="single" w:sz="4" w:space="0" w:color="auto"/>
              <w:bottom w:val="single" w:sz="4" w:space="0" w:color="auto"/>
            </w:tcBorders>
            <w:shd w:val="clear" w:color="auto" w:fill="auto"/>
            <w:vAlign w:val="center"/>
          </w:tcPr>
          <w:p w:rsidR="00A027E6" w:rsidRPr="00E30747" w:rsidRDefault="00E30747" w:rsidP="0065295D">
            <w:pPr>
              <w:spacing w:after="0"/>
              <w:jc w:val="left"/>
              <w:rPr>
                <w:rFonts w:eastAsia="Times New Roman"/>
                <w:color w:val="000000"/>
                <w:sz w:val="20"/>
                <w:szCs w:val="27"/>
                <w:lang w:val="en-US"/>
              </w:rPr>
            </w:pPr>
            <w:r w:rsidRPr="00E30747">
              <w:rPr>
                <w:rFonts w:eastAsia="Times New Roman"/>
                <w:color w:val="000000"/>
                <w:sz w:val="20"/>
                <w:szCs w:val="27"/>
                <w:lang w:val="en-US"/>
              </w:rPr>
              <w:t>1.3.2.2. Projekat animiranja dijaspore sa ciljem novih ulaganja na području općine Kalesija</w:t>
            </w:r>
          </w:p>
        </w:tc>
      </w:tr>
      <w:tr w:rsidR="00A027E6" w:rsidRPr="00570A94" w:rsidTr="00C86F0E">
        <w:tc>
          <w:tcPr>
            <w:tcW w:w="4082" w:type="dxa"/>
            <w:vMerge w:val="restart"/>
            <w:shd w:val="clear" w:color="auto" w:fill="auto"/>
            <w:vAlign w:val="center"/>
          </w:tcPr>
          <w:p w:rsidR="00A027E6" w:rsidRPr="00E30747" w:rsidRDefault="00E30747" w:rsidP="0065295D">
            <w:pPr>
              <w:pStyle w:val="ListParagraph"/>
              <w:numPr>
                <w:ilvl w:val="0"/>
                <w:numId w:val="0"/>
              </w:numPr>
              <w:spacing w:after="0"/>
              <w:jc w:val="left"/>
              <w:rPr>
                <w:b/>
                <w:noProof/>
                <w:sz w:val="20"/>
                <w:szCs w:val="20"/>
                <w:lang w:val="sr-Cyrl-BA"/>
              </w:rPr>
            </w:pPr>
            <w:r w:rsidRPr="00E30747">
              <w:rPr>
                <w:b/>
                <w:color w:val="000000"/>
                <w:sz w:val="20"/>
                <w:szCs w:val="27"/>
              </w:rPr>
              <w:t>1.4.1. PROMOCIJA KULTURNO-HISTORIJSKOG NASLIJEĐA</w:t>
            </w:r>
          </w:p>
        </w:tc>
        <w:tc>
          <w:tcPr>
            <w:tcW w:w="5209" w:type="dxa"/>
            <w:tcBorders>
              <w:top w:val="single" w:sz="4" w:space="0" w:color="auto"/>
              <w:bottom w:val="single" w:sz="4" w:space="0" w:color="auto"/>
            </w:tcBorders>
            <w:shd w:val="clear" w:color="auto" w:fill="auto"/>
            <w:vAlign w:val="center"/>
          </w:tcPr>
          <w:p w:rsidR="00A027E6" w:rsidRPr="00E30747" w:rsidRDefault="00E30747" w:rsidP="0065295D">
            <w:pPr>
              <w:spacing w:after="0"/>
              <w:jc w:val="left"/>
              <w:rPr>
                <w:rFonts w:eastAsia="Times New Roman"/>
                <w:color w:val="000000"/>
                <w:sz w:val="20"/>
                <w:szCs w:val="27"/>
                <w:lang w:val="en-US"/>
              </w:rPr>
            </w:pPr>
            <w:r w:rsidRPr="00E30747">
              <w:rPr>
                <w:rFonts w:eastAsia="Times New Roman"/>
                <w:color w:val="000000"/>
                <w:sz w:val="20"/>
                <w:szCs w:val="27"/>
                <w:lang w:val="en-US"/>
              </w:rPr>
              <w:t>1.4.1.1. Uspostavljanje registra i kategorizacija kulturno-historijskog naslijeđa</w:t>
            </w:r>
          </w:p>
        </w:tc>
      </w:tr>
      <w:tr w:rsidR="00A027E6" w:rsidRPr="00570A94" w:rsidTr="00C86F0E">
        <w:tc>
          <w:tcPr>
            <w:tcW w:w="4082" w:type="dxa"/>
            <w:vMerge/>
            <w:shd w:val="clear" w:color="auto" w:fill="auto"/>
            <w:vAlign w:val="center"/>
          </w:tcPr>
          <w:p w:rsidR="00A027E6" w:rsidRPr="00762C78" w:rsidRDefault="00A027E6" w:rsidP="0065295D">
            <w:pPr>
              <w:pStyle w:val="ListParagraph"/>
              <w:numPr>
                <w:ilvl w:val="0"/>
                <w:numId w:val="0"/>
              </w:numPr>
              <w:spacing w:after="0"/>
              <w:jc w:val="left"/>
              <w:rPr>
                <w:b/>
                <w:noProof/>
                <w:sz w:val="20"/>
                <w:szCs w:val="20"/>
                <w:lang w:val="sr-Cyrl-BA"/>
              </w:rPr>
            </w:pPr>
          </w:p>
        </w:tc>
        <w:tc>
          <w:tcPr>
            <w:tcW w:w="5209" w:type="dxa"/>
            <w:tcBorders>
              <w:top w:val="single" w:sz="4" w:space="0" w:color="auto"/>
              <w:bottom w:val="single" w:sz="4" w:space="0" w:color="auto"/>
            </w:tcBorders>
            <w:shd w:val="clear" w:color="auto" w:fill="auto"/>
            <w:vAlign w:val="center"/>
          </w:tcPr>
          <w:p w:rsidR="00B050B1" w:rsidRPr="00B050B1" w:rsidRDefault="00B050B1" w:rsidP="0065295D">
            <w:pPr>
              <w:spacing w:after="0"/>
              <w:jc w:val="left"/>
              <w:rPr>
                <w:rFonts w:eastAsia="Times New Roman"/>
                <w:color w:val="000000"/>
                <w:sz w:val="20"/>
                <w:szCs w:val="27"/>
                <w:lang w:val="en-US"/>
              </w:rPr>
            </w:pPr>
            <w:r w:rsidRPr="00B050B1">
              <w:rPr>
                <w:rFonts w:eastAsia="Times New Roman"/>
                <w:color w:val="000000"/>
                <w:sz w:val="20"/>
                <w:szCs w:val="27"/>
                <w:lang w:val="en-US"/>
              </w:rPr>
              <w:t xml:space="preserve">1.4.1.2. Promocija turizma i kulturno-historijskog naslijeđa </w:t>
            </w:r>
            <w:r w:rsidR="0065295D">
              <w:rPr>
                <w:rFonts w:eastAsia="Times New Roman"/>
                <w:color w:val="000000"/>
                <w:sz w:val="20"/>
                <w:szCs w:val="27"/>
                <w:lang w:val="en-US"/>
              </w:rPr>
              <w:t>općine Kalesija</w:t>
            </w:r>
          </w:p>
        </w:tc>
      </w:tr>
      <w:tr w:rsidR="00B050B1" w:rsidRPr="00570A94" w:rsidTr="00C86F0E">
        <w:tc>
          <w:tcPr>
            <w:tcW w:w="4082" w:type="dxa"/>
            <w:vMerge w:val="restart"/>
            <w:shd w:val="clear" w:color="auto" w:fill="auto"/>
            <w:vAlign w:val="center"/>
          </w:tcPr>
          <w:p w:rsidR="00B050B1" w:rsidRPr="00B050B1" w:rsidRDefault="00B050B1" w:rsidP="0065295D">
            <w:pPr>
              <w:pStyle w:val="ListParagraph"/>
              <w:numPr>
                <w:ilvl w:val="0"/>
                <w:numId w:val="0"/>
              </w:numPr>
              <w:spacing w:after="0"/>
              <w:jc w:val="left"/>
              <w:rPr>
                <w:b/>
                <w:noProof/>
                <w:sz w:val="20"/>
                <w:szCs w:val="20"/>
                <w:lang w:val="sr-Cyrl-BA"/>
              </w:rPr>
            </w:pPr>
            <w:r w:rsidRPr="00B050B1">
              <w:rPr>
                <w:b/>
                <w:color w:val="000000"/>
                <w:sz w:val="20"/>
                <w:szCs w:val="27"/>
              </w:rPr>
              <w:t>1.4.2. UREĐENJE KULTURNO-HISTORIJSKIH-TURISTIČKIH LOKALITETA</w:t>
            </w:r>
          </w:p>
        </w:tc>
        <w:tc>
          <w:tcPr>
            <w:tcW w:w="5209" w:type="dxa"/>
            <w:tcBorders>
              <w:top w:val="single" w:sz="4" w:space="0" w:color="auto"/>
              <w:bottom w:val="single" w:sz="4" w:space="0" w:color="auto"/>
            </w:tcBorders>
            <w:shd w:val="clear" w:color="auto" w:fill="auto"/>
            <w:vAlign w:val="center"/>
          </w:tcPr>
          <w:p w:rsidR="00B050B1" w:rsidRPr="00B050B1" w:rsidRDefault="00B050B1" w:rsidP="0065295D">
            <w:pPr>
              <w:spacing w:after="0"/>
              <w:jc w:val="left"/>
              <w:rPr>
                <w:rFonts w:eastAsia="Times New Roman"/>
                <w:color w:val="000000"/>
                <w:sz w:val="20"/>
                <w:szCs w:val="27"/>
                <w:lang w:val="en-US"/>
              </w:rPr>
            </w:pPr>
            <w:r w:rsidRPr="0065295D">
              <w:rPr>
                <w:rFonts w:eastAsia="Times New Roman"/>
                <w:color w:val="000000"/>
                <w:sz w:val="20"/>
                <w:szCs w:val="27"/>
                <w:lang w:val="en-US"/>
              </w:rPr>
              <w:t>1</w:t>
            </w:r>
            <w:r w:rsidRPr="00B050B1">
              <w:rPr>
                <w:rFonts w:eastAsia="Times New Roman"/>
                <w:color w:val="000000"/>
                <w:sz w:val="20"/>
                <w:szCs w:val="27"/>
                <w:lang w:val="en-US"/>
              </w:rPr>
              <w:t>.4.2.1. Projekat uređenja lokaliteta sa kulturno – historijskim naslijeđem</w:t>
            </w:r>
            <w:r w:rsidR="0063192B">
              <w:rPr>
                <w:rFonts w:eastAsia="Times New Roman"/>
                <w:color w:val="000000"/>
                <w:sz w:val="20"/>
                <w:szCs w:val="27"/>
                <w:lang w:val="en-US"/>
              </w:rPr>
              <w:t xml:space="preserve"> </w:t>
            </w:r>
            <w:r w:rsidRPr="00B050B1">
              <w:rPr>
                <w:rFonts w:eastAsia="Times New Roman"/>
                <w:color w:val="000000"/>
                <w:sz w:val="20"/>
                <w:szCs w:val="27"/>
                <w:lang w:val="en-US"/>
              </w:rPr>
              <w:t>(DUBNICA)</w:t>
            </w:r>
          </w:p>
        </w:tc>
      </w:tr>
      <w:tr w:rsidR="00B050B1" w:rsidRPr="00570A94" w:rsidTr="00C86F0E">
        <w:tc>
          <w:tcPr>
            <w:tcW w:w="4082" w:type="dxa"/>
            <w:vMerge/>
            <w:shd w:val="clear" w:color="auto" w:fill="auto"/>
            <w:vAlign w:val="center"/>
          </w:tcPr>
          <w:p w:rsidR="00B050B1" w:rsidRPr="00B050B1" w:rsidRDefault="00B050B1" w:rsidP="0065295D">
            <w:pPr>
              <w:pStyle w:val="ListParagraph"/>
              <w:numPr>
                <w:ilvl w:val="0"/>
                <w:numId w:val="0"/>
              </w:numPr>
              <w:spacing w:after="0"/>
              <w:ind w:left="720"/>
              <w:jc w:val="left"/>
              <w:rPr>
                <w:b/>
                <w:color w:val="000000"/>
                <w:sz w:val="20"/>
                <w:szCs w:val="27"/>
              </w:rPr>
            </w:pPr>
          </w:p>
        </w:tc>
        <w:tc>
          <w:tcPr>
            <w:tcW w:w="5209" w:type="dxa"/>
            <w:tcBorders>
              <w:top w:val="single" w:sz="4" w:space="0" w:color="auto"/>
              <w:bottom w:val="single" w:sz="4" w:space="0" w:color="auto"/>
            </w:tcBorders>
            <w:shd w:val="clear" w:color="auto" w:fill="auto"/>
            <w:vAlign w:val="center"/>
          </w:tcPr>
          <w:p w:rsidR="00B050B1" w:rsidRPr="00B050B1" w:rsidRDefault="00467492" w:rsidP="0065295D">
            <w:pPr>
              <w:spacing w:after="0"/>
              <w:jc w:val="left"/>
              <w:rPr>
                <w:rFonts w:eastAsia="Times New Roman"/>
                <w:color w:val="000000"/>
                <w:sz w:val="20"/>
                <w:szCs w:val="27"/>
                <w:lang w:val="en-US"/>
              </w:rPr>
            </w:pPr>
            <w:r w:rsidRPr="00B050B1">
              <w:rPr>
                <w:rFonts w:eastAsia="Times New Roman"/>
                <w:color w:val="000000"/>
                <w:sz w:val="20"/>
                <w:szCs w:val="27"/>
                <w:lang w:val="en-US"/>
              </w:rPr>
              <w:t xml:space="preserve">1.4.2.2. Projekat uređenja lokaliteta “SPREČA” i “VIS” u funkciji povećanja turističke </w:t>
            </w:r>
            <w:r>
              <w:rPr>
                <w:rFonts w:eastAsia="Times New Roman"/>
                <w:color w:val="000000"/>
                <w:sz w:val="20"/>
                <w:szCs w:val="27"/>
                <w:lang w:val="en-US"/>
              </w:rPr>
              <w:t>ponuda</w:t>
            </w:r>
          </w:p>
        </w:tc>
      </w:tr>
      <w:tr w:rsidR="00B050B1" w:rsidRPr="00570A94" w:rsidTr="00C86F0E">
        <w:tc>
          <w:tcPr>
            <w:tcW w:w="4082" w:type="dxa"/>
            <w:vMerge/>
            <w:shd w:val="clear" w:color="auto" w:fill="auto"/>
            <w:vAlign w:val="center"/>
          </w:tcPr>
          <w:p w:rsidR="00B050B1" w:rsidRPr="00B050B1" w:rsidRDefault="00B050B1" w:rsidP="0065295D">
            <w:pPr>
              <w:pStyle w:val="ListParagraph"/>
              <w:numPr>
                <w:ilvl w:val="0"/>
                <w:numId w:val="0"/>
              </w:numPr>
              <w:spacing w:after="0"/>
              <w:ind w:left="720"/>
              <w:jc w:val="left"/>
              <w:rPr>
                <w:b/>
                <w:color w:val="000000"/>
                <w:sz w:val="20"/>
                <w:szCs w:val="27"/>
              </w:rPr>
            </w:pPr>
          </w:p>
        </w:tc>
        <w:tc>
          <w:tcPr>
            <w:tcW w:w="5209" w:type="dxa"/>
            <w:tcBorders>
              <w:top w:val="single" w:sz="4" w:space="0" w:color="auto"/>
              <w:bottom w:val="single" w:sz="4" w:space="0" w:color="auto"/>
            </w:tcBorders>
            <w:shd w:val="clear" w:color="auto" w:fill="auto"/>
            <w:vAlign w:val="center"/>
          </w:tcPr>
          <w:p w:rsidR="00B050B1" w:rsidRPr="00467492" w:rsidRDefault="00B050B1" w:rsidP="0065295D">
            <w:pPr>
              <w:spacing w:after="0"/>
              <w:jc w:val="left"/>
              <w:rPr>
                <w:rFonts w:eastAsia="Times New Roman"/>
                <w:color w:val="000000"/>
                <w:sz w:val="20"/>
                <w:szCs w:val="27"/>
                <w:lang w:val="en-US"/>
              </w:rPr>
            </w:pPr>
            <w:r w:rsidRPr="00B050B1">
              <w:rPr>
                <w:rFonts w:eastAsia="Times New Roman"/>
                <w:color w:val="000000"/>
                <w:sz w:val="20"/>
                <w:szCs w:val="27"/>
                <w:lang w:val="en-US"/>
              </w:rPr>
              <w:t>1.4.2.3. Projekat izgradnje</w:t>
            </w:r>
            <w:r w:rsidRPr="00467492">
              <w:rPr>
                <w:rFonts w:eastAsia="Times New Roman"/>
                <w:color w:val="000000"/>
                <w:sz w:val="20"/>
                <w:szCs w:val="27"/>
                <w:lang w:val="en-US"/>
              </w:rPr>
              <w:t xml:space="preserve"> </w:t>
            </w:r>
            <w:r w:rsidRPr="00B050B1">
              <w:rPr>
                <w:rFonts w:eastAsia="Times New Roman"/>
                <w:color w:val="000000"/>
                <w:sz w:val="20"/>
                <w:szCs w:val="27"/>
                <w:lang w:val="en-US"/>
              </w:rPr>
              <w:t>Turističko – ugostiteljskog</w:t>
            </w:r>
            <w:r w:rsidRPr="00467492">
              <w:rPr>
                <w:rFonts w:eastAsia="Times New Roman"/>
                <w:color w:val="000000"/>
                <w:sz w:val="20"/>
                <w:szCs w:val="27"/>
                <w:lang w:val="en-US"/>
              </w:rPr>
              <w:t xml:space="preserve"> </w:t>
            </w:r>
            <w:r w:rsidRPr="00B050B1">
              <w:rPr>
                <w:rFonts w:eastAsia="Times New Roman"/>
                <w:color w:val="000000"/>
                <w:sz w:val="20"/>
                <w:szCs w:val="27"/>
                <w:lang w:val="en-US"/>
              </w:rPr>
              <w:t>projekta “ADRENALIN</w:t>
            </w:r>
            <w:r w:rsidRPr="00467492">
              <w:rPr>
                <w:rFonts w:eastAsia="Times New Roman"/>
                <w:color w:val="000000"/>
                <w:sz w:val="20"/>
                <w:szCs w:val="27"/>
                <w:lang w:val="en-US"/>
              </w:rPr>
              <w:t xml:space="preserve"> </w:t>
            </w:r>
            <w:r w:rsidRPr="00B050B1">
              <w:rPr>
                <w:rFonts w:eastAsia="Times New Roman"/>
                <w:color w:val="000000"/>
                <w:sz w:val="20"/>
                <w:szCs w:val="27"/>
                <w:lang w:val="en-US"/>
              </w:rPr>
              <w:t>PARK VIS”</w:t>
            </w:r>
          </w:p>
        </w:tc>
      </w:tr>
    </w:tbl>
    <w:p w:rsidR="00881DF1" w:rsidRDefault="00881DF1" w:rsidP="00AD59CB">
      <w:bookmarkStart w:id="117" w:name="_Toc298390158"/>
      <w:bookmarkEnd w:id="116"/>
      <w:r w:rsidRPr="00881DF1">
        <w:t xml:space="preserve">Ukupna očekivana ulaganja za realizaciju sektorskog plana ekonomskog </w:t>
      </w:r>
      <w:r w:rsidR="008B4ACB">
        <w:t xml:space="preserve">razvoja su: </w:t>
      </w:r>
      <w:r w:rsidR="006A4A95" w:rsidRPr="006A4A95">
        <w:t xml:space="preserve">6.409.000 </w:t>
      </w:r>
      <w:r w:rsidR="0065295D" w:rsidRPr="0084735E">
        <w:t>KM.</w:t>
      </w:r>
    </w:p>
    <w:p w:rsidR="001A3B2C" w:rsidRDefault="001A3B2C" w:rsidP="00AD59CB"/>
    <w:p w:rsidR="001A3B2C" w:rsidRPr="001A3B2C" w:rsidRDefault="00881DF1" w:rsidP="001A3B2C">
      <w:pPr>
        <w:pStyle w:val="Heading2"/>
      </w:pPr>
      <w:bookmarkStart w:id="118" w:name="_Toc298390159"/>
      <w:bookmarkStart w:id="119" w:name="_Toc491379778"/>
      <w:bookmarkStart w:id="120" w:name="_Toc500140053"/>
      <w:bookmarkEnd w:id="117"/>
      <w:r w:rsidRPr="00881DF1">
        <w:t>V.2.</w:t>
      </w:r>
      <w:r w:rsidRPr="00881DF1">
        <w:tab/>
        <w:t>Plan društvenog razvoja</w:t>
      </w:r>
      <w:bookmarkEnd w:id="118"/>
      <w:bookmarkEnd w:id="119"/>
      <w:bookmarkEnd w:id="120"/>
    </w:p>
    <w:p w:rsidR="00772468" w:rsidRDefault="00772468" w:rsidP="008A2A6D">
      <w:r w:rsidRPr="00CC5E7D">
        <w:t xml:space="preserve">Osnova za izradu Plana </w:t>
      </w:r>
      <w:r w:rsidRPr="000B16FF">
        <w:rPr>
          <w:color w:val="000000"/>
          <w:szCs w:val="27"/>
        </w:rPr>
        <w:t xml:space="preserve">društvenog </w:t>
      </w:r>
      <w:r w:rsidRPr="00CC5E7D">
        <w:t xml:space="preserve">ekonomskog razvoja </w:t>
      </w:r>
      <w:r>
        <w:t xml:space="preserve">je SWOT analiza, </w:t>
      </w:r>
      <w:r w:rsidRPr="00CC5E7D">
        <w:t xml:space="preserve">kao i </w:t>
      </w:r>
      <w:r>
        <w:t>sve</w:t>
      </w:r>
      <w:r w:rsidRPr="00CC5E7D">
        <w:t xml:space="preserve"> relevantne informacije sadržane u socio-ek</w:t>
      </w:r>
      <w:r>
        <w:t>onomskoj analizi i stavovi članova Partnerske grupe</w:t>
      </w:r>
      <w:r w:rsidRPr="00CC5E7D">
        <w:t xml:space="preserve"> općine Kalesije.</w:t>
      </w:r>
    </w:p>
    <w:p w:rsidR="000B16FF" w:rsidRDefault="000B16FF" w:rsidP="008A2A6D">
      <w:pPr>
        <w:jc w:val="left"/>
        <w:rPr>
          <w:rFonts w:eastAsia="Times New Roman"/>
          <w:color w:val="000000"/>
          <w:szCs w:val="27"/>
          <w:lang w:val="en-US"/>
        </w:rPr>
      </w:pPr>
      <w:r w:rsidRPr="000B16FF">
        <w:rPr>
          <w:rFonts w:eastAsia="Times New Roman"/>
          <w:color w:val="000000"/>
          <w:szCs w:val="27"/>
          <w:lang w:val="en-US"/>
        </w:rPr>
        <w:t>Definisani ključni fokusi dr</w:t>
      </w:r>
      <w:r>
        <w:rPr>
          <w:rFonts w:eastAsia="Times New Roman"/>
          <w:color w:val="000000"/>
          <w:szCs w:val="27"/>
          <w:lang w:val="en-US"/>
        </w:rPr>
        <w:t xml:space="preserve">uštvenog razvoja općine Kalesija </w:t>
      </w:r>
      <w:r w:rsidRPr="000B16FF">
        <w:rPr>
          <w:rFonts w:eastAsia="Times New Roman"/>
          <w:color w:val="000000"/>
          <w:szCs w:val="27"/>
          <w:lang w:val="en-US"/>
        </w:rPr>
        <w:t xml:space="preserve"> za naredni period su:</w:t>
      </w:r>
    </w:p>
    <w:p w:rsidR="00447F9D" w:rsidRDefault="00447F9D" w:rsidP="008A2A6D">
      <w:pPr>
        <w:pStyle w:val="ListParagraph"/>
        <w:numPr>
          <w:ilvl w:val="0"/>
          <w:numId w:val="11"/>
        </w:numPr>
        <w:rPr>
          <w:noProof/>
        </w:rPr>
      </w:pPr>
      <w:r>
        <w:rPr>
          <w:noProof/>
        </w:rPr>
        <w:t>Redovno pra</w:t>
      </w:r>
      <w:r w:rsidR="00EF15FF">
        <w:rPr>
          <w:noProof/>
        </w:rPr>
        <w:t>ć</w:t>
      </w:r>
      <w:r>
        <w:rPr>
          <w:noProof/>
        </w:rPr>
        <w:t>enje  podataka o ugroženim kategorijama stanovništva;</w:t>
      </w:r>
    </w:p>
    <w:p w:rsidR="00447F9D" w:rsidRPr="00447F9D" w:rsidRDefault="00EF15FF" w:rsidP="008A2A6D">
      <w:pPr>
        <w:pStyle w:val="ListParagraph"/>
        <w:numPr>
          <w:ilvl w:val="0"/>
          <w:numId w:val="11"/>
        </w:numPr>
        <w:rPr>
          <w:noProof/>
        </w:rPr>
      </w:pPr>
      <w:r>
        <w:rPr>
          <w:rFonts w:eastAsia="TimesNewRoman" w:cs="Calibri"/>
        </w:rPr>
        <w:t>Unapređenje</w:t>
      </w:r>
      <w:r w:rsidR="00447F9D">
        <w:rPr>
          <w:rFonts w:eastAsia="TimesNewRoman" w:cs="Calibri"/>
        </w:rPr>
        <w:t xml:space="preserve"> kanala za informisanje i komunikaciju između uprave i građana (mediji, web portali, itd.)</w:t>
      </w:r>
      <w:r>
        <w:rPr>
          <w:rFonts w:eastAsia="TimesNewRoman" w:cs="Calibri"/>
        </w:rPr>
        <w:t>;</w:t>
      </w:r>
    </w:p>
    <w:p w:rsidR="00447F9D" w:rsidRPr="00307843" w:rsidRDefault="00447F9D" w:rsidP="008A2A6D">
      <w:pPr>
        <w:pStyle w:val="ListParagraph"/>
        <w:numPr>
          <w:ilvl w:val="0"/>
          <w:numId w:val="11"/>
        </w:numPr>
        <w:rPr>
          <w:noProof/>
        </w:rPr>
      </w:pPr>
      <w:r>
        <w:rPr>
          <w:rFonts w:eastAsia="TimesNewRoman" w:cs="Calibri"/>
        </w:rPr>
        <w:t xml:space="preserve">Unapređenje kvaliteta života lokalnog stanovništva kroz poboljšanje usluga iz oblasti </w:t>
      </w:r>
      <w:r w:rsidR="00307843">
        <w:rPr>
          <w:rFonts w:eastAsia="TimesNewRoman" w:cs="Calibri"/>
        </w:rPr>
        <w:t>zdravstva,</w:t>
      </w:r>
      <w:r w:rsidR="00EF15FF">
        <w:rPr>
          <w:rFonts w:eastAsia="TimesNewRoman" w:cs="Calibri"/>
        </w:rPr>
        <w:t xml:space="preserve"> </w:t>
      </w:r>
      <w:r w:rsidR="00307843">
        <w:rPr>
          <w:rFonts w:eastAsia="TimesNewRoman" w:cs="Calibri"/>
        </w:rPr>
        <w:t>obrazovanja, sporta i kulture</w:t>
      </w:r>
    </w:p>
    <w:p w:rsidR="00307843" w:rsidRPr="00307843" w:rsidRDefault="00307843" w:rsidP="008A2A6D">
      <w:pPr>
        <w:pStyle w:val="ListParagraph"/>
        <w:numPr>
          <w:ilvl w:val="0"/>
          <w:numId w:val="11"/>
        </w:numPr>
        <w:rPr>
          <w:noProof/>
        </w:rPr>
      </w:pPr>
      <w:r w:rsidRPr="00307843">
        <w:rPr>
          <w:color w:val="000000"/>
          <w:szCs w:val="27"/>
        </w:rPr>
        <w:t>Unapređenje efikasnosti lokalne uprave u cilju kvalitetnijeg zastupanja lokalnih interesa prema višim nivoima vlasti te privlačenje eksternih izvora finansiranja za razvojne prioritete</w:t>
      </w:r>
    </w:p>
    <w:p w:rsidR="00931888" w:rsidRDefault="00931888">
      <w:pPr>
        <w:rPr>
          <w:rFonts w:eastAsia="Times New Roman"/>
          <w:b/>
          <w:bCs/>
          <w:szCs w:val="26"/>
        </w:rPr>
      </w:pPr>
      <w:bookmarkStart w:id="121" w:name="_Toc491379779"/>
    </w:p>
    <w:p w:rsidR="00881DF1" w:rsidRPr="00881DF1" w:rsidRDefault="00881DF1" w:rsidP="00AD59CB">
      <w:pPr>
        <w:pStyle w:val="Heading3"/>
      </w:pPr>
      <w:bookmarkStart w:id="122" w:name="_Toc500140054"/>
      <w:r w:rsidRPr="00881DF1">
        <w:lastRenderedPageBreak/>
        <w:t>V.2.1.</w:t>
      </w:r>
      <w:r w:rsidRPr="00881DF1">
        <w:tab/>
        <w:t>Pregled sektorskih ciljeva sa očekivanim ishodima i indikatorima</w:t>
      </w:r>
      <w:bookmarkEnd w:id="121"/>
      <w:bookmarkEnd w:id="12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A0" w:firstRow="1" w:lastRow="0" w:firstColumn="1" w:lastColumn="0" w:noHBand="0" w:noVBand="0"/>
      </w:tblPr>
      <w:tblGrid>
        <w:gridCol w:w="2660"/>
        <w:gridCol w:w="3897"/>
        <w:gridCol w:w="2856"/>
      </w:tblGrid>
      <w:tr w:rsidR="00881DF1" w:rsidRPr="00881DF1" w:rsidTr="00C86F0E">
        <w:tc>
          <w:tcPr>
            <w:tcW w:w="2660" w:type="dxa"/>
            <w:shd w:val="clear" w:color="auto" w:fill="C6D9F1"/>
            <w:vAlign w:val="center"/>
          </w:tcPr>
          <w:p w:rsidR="00881DF1" w:rsidRPr="00046484" w:rsidRDefault="00881DF1" w:rsidP="00D42960">
            <w:pPr>
              <w:jc w:val="left"/>
              <w:rPr>
                <w:b/>
              </w:rPr>
            </w:pPr>
            <w:r w:rsidRPr="00046484">
              <w:rPr>
                <w:b/>
              </w:rPr>
              <w:t>Sektorski cilj</w:t>
            </w:r>
          </w:p>
        </w:tc>
        <w:tc>
          <w:tcPr>
            <w:tcW w:w="3897" w:type="dxa"/>
            <w:shd w:val="clear" w:color="auto" w:fill="C6D9F1"/>
            <w:vAlign w:val="center"/>
          </w:tcPr>
          <w:p w:rsidR="00881DF1" w:rsidRPr="00046484" w:rsidRDefault="00881DF1" w:rsidP="00D42960">
            <w:pPr>
              <w:jc w:val="left"/>
              <w:rPr>
                <w:b/>
              </w:rPr>
            </w:pPr>
            <w:r w:rsidRPr="00046484">
              <w:rPr>
                <w:b/>
              </w:rPr>
              <w:t>Očekivani ishod</w:t>
            </w:r>
          </w:p>
        </w:tc>
        <w:tc>
          <w:tcPr>
            <w:tcW w:w="2856" w:type="dxa"/>
            <w:shd w:val="clear" w:color="auto" w:fill="C6D9F1"/>
            <w:vAlign w:val="center"/>
          </w:tcPr>
          <w:p w:rsidR="00881DF1" w:rsidRPr="00046484" w:rsidRDefault="00881DF1" w:rsidP="00D42960">
            <w:pPr>
              <w:jc w:val="left"/>
              <w:rPr>
                <w:b/>
              </w:rPr>
            </w:pPr>
            <w:r w:rsidRPr="00046484">
              <w:rPr>
                <w:b/>
              </w:rPr>
              <w:t>Indikator</w:t>
            </w:r>
          </w:p>
        </w:tc>
      </w:tr>
      <w:tr w:rsidR="00881DF1" w:rsidRPr="00881DF1" w:rsidTr="00C86F0E">
        <w:tc>
          <w:tcPr>
            <w:tcW w:w="2660" w:type="dxa"/>
            <w:vAlign w:val="center"/>
          </w:tcPr>
          <w:p w:rsidR="00881DF1" w:rsidRPr="00EF15FF" w:rsidRDefault="0009289F" w:rsidP="0009289F">
            <w:pPr>
              <w:ind w:left="144"/>
              <w:jc w:val="left"/>
              <w:rPr>
                <w:b/>
                <w:sz w:val="20"/>
                <w:szCs w:val="20"/>
                <w:lang w:val="it-IT"/>
              </w:rPr>
            </w:pPr>
            <w:r>
              <w:rPr>
                <w:b/>
                <w:sz w:val="20"/>
                <w:szCs w:val="20"/>
                <w:lang w:val="it-IT"/>
              </w:rPr>
              <w:t xml:space="preserve">2.1. Poboljšati </w:t>
            </w:r>
            <w:r w:rsidR="00046484" w:rsidRPr="00EF15FF">
              <w:rPr>
                <w:b/>
                <w:sz w:val="20"/>
                <w:szCs w:val="20"/>
                <w:lang w:val="it-IT"/>
              </w:rPr>
              <w:t xml:space="preserve">učinkovitost organa javne uprave </w:t>
            </w:r>
            <w:r>
              <w:rPr>
                <w:b/>
                <w:sz w:val="20"/>
                <w:szCs w:val="20"/>
                <w:lang w:val="it-IT"/>
              </w:rPr>
              <w:t xml:space="preserve">općine Kalesija </w:t>
            </w:r>
          </w:p>
        </w:tc>
        <w:tc>
          <w:tcPr>
            <w:tcW w:w="3897" w:type="dxa"/>
            <w:vAlign w:val="center"/>
          </w:tcPr>
          <w:p w:rsidR="00046484" w:rsidRPr="004615A2" w:rsidRDefault="00046484" w:rsidP="00EF15FF">
            <w:pPr>
              <w:pStyle w:val="ListParagraph"/>
              <w:numPr>
                <w:ilvl w:val="0"/>
                <w:numId w:val="29"/>
              </w:numPr>
              <w:ind w:left="504" w:right="-17"/>
              <w:jc w:val="left"/>
              <w:rPr>
                <w:color w:val="000000" w:themeColor="text1"/>
                <w:sz w:val="20"/>
                <w:szCs w:val="20"/>
              </w:rPr>
            </w:pPr>
            <w:r w:rsidRPr="004615A2">
              <w:rPr>
                <w:color w:val="000000" w:themeColor="text1"/>
                <w:sz w:val="20"/>
                <w:szCs w:val="20"/>
              </w:rPr>
              <w:t>Skraćeno prosječno vrijeme pružanja usluga administracije za 10% do kraja 2022. godine u odnosu na 2017. godinu</w:t>
            </w:r>
          </w:p>
          <w:p w:rsidR="00046484" w:rsidRPr="004615A2" w:rsidRDefault="00046484" w:rsidP="00EF15FF">
            <w:pPr>
              <w:pStyle w:val="ListParagraph"/>
              <w:numPr>
                <w:ilvl w:val="0"/>
                <w:numId w:val="29"/>
              </w:numPr>
              <w:tabs>
                <w:tab w:val="num" w:pos="580"/>
              </w:tabs>
              <w:ind w:left="504" w:right="-17"/>
              <w:jc w:val="left"/>
              <w:rPr>
                <w:sz w:val="20"/>
                <w:szCs w:val="20"/>
                <w:lang w:val="sr-Latn-BA"/>
              </w:rPr>
            </w:pPr>
            <w:r w:rsidRPr="004615A2">
              <w:rPr>
                <w:sz w:val="20"/>
                <w:szCs w:val="20"/>
                <w:lang w:val="sr-Latn-BA"/>
              </w:rPr>
              <w:t>Skraćeno vrijeme pružanja administrativnih usluga za privrednike i predstavnike dijaspore za 50% do 2020. godine u odnosu na 2017 godinu</w:t>
            </w:r>
          </w:p>
          <w:p w:rsidR="00881DF1" w:rsidRPr="00881DF1" w:rsidRDefault="00046484" w:rsidP="00EF15FF">
            <w:pPr>
              <w:pStyle w:val="ListParagraph"/>
              <w:numPr>
                <w:ilvl w:val="0"/>
                <w:numId w:val="29"/>
              </w:numPr>
              <w:tabs>
                <w:tab w:val="num" w:pos="580"/>
              </w:tabs>
              <w:ind w:left="504" w:right="-17"/>
              <w:jc w:val="left"/>
            </w:pPr>
            <w:r w:rsidRPr="004615A2">
              <w:rPr>
                <w:color w:val="000000" w:themeColor="text1"/>
                <w:sz w:val="20"/>
                <w:szCs w:val="20"/>
              </w:rPr>
              <w:t xml:space="preserve">Povećan nivo finansijskog i nefinansijskog učešća građana u mjesnim zajednicama za lokalne razvojne inicijative za 10% u </w:t>
            </w:r>
            <w:r w:rsidRPr="004615A2">
              <w:rPr>
                <w:color w:val="000000" w:themeColor="text1"/>
                <w:sz w:val="20"/>
                <w:szCs w:val="20"/>
                <w:lang w:val="bs-Latn-BA"/>
              </w:rPr>
              <w:t xml:space="preserve">mjereno u </w:t>
            </w:r>
            <w:r w:rsidRPr="004615A2">
              <w:rPr>
                <w:color w:val="000000" w:themeColor="text1"/>
                <w:sz w:val="20"/>
                <w:szCs w:val="20"/>
              </w:rPr>
              <w:t>202</w:t>
            </w:r>
            <w:r w:rsidRPr="004615A2">
              <w:rPr>
                <w:color w:val="000000" w:themeColor="text1"/>
                <w:sz w:val="20"/>
                <w:szCs w:val="20"/>
                <w:lang w:val="bs-Latn-BA"/>
              </w:rPr>
              <w:t>2</w:t>
            </w:r>
            <w:r w:rsidRPr="004615A2">
              <w:rPr>
                <w:color w:val="000000" w:themeColor="text1"/>
                <w:sz w:val="20"/>
                <w:szCs w:val="20"/>
              </w:rPr>
              <w:t xml:space="preserve">. </w:t>
            </w:r>
            <w:r w:rsidRPr="004615A2">
              <w:rPr>
                <w:color w:val="000000" w:themeColor="text1"/>
                <w:sz w:val="20"/>
                <w:szCs w:val="20"/>
                <w:lang w:val="bs-Latn-BA"/>
              </w:rPr>
              <w:t xml:space="preserve">godini </w:t>
            </w:r>
            <w:r w:rsidRPr="004615A2">
              <w:rPr>
                <w:color w:val="000000" w:themeColor="text1"/>
                <w:sz w:val="20"/>
                <w:szCs w:val="20"/>
              </w:rPr>
              <w:t xml:space="preserve">u odnosu na </w:t>
            </w:r>
            <w:r w:rsidRPr="004615A2">
              <w:rPr>
                <w:color w:val="000000" w:themeColor="text1"/>
                <w:sz w:val="20"/>
                <w:szCs w:val="20"/>
                <w:lang w:val="bs-Latn-BA"/>
              </w:rPr>
              <w:t>2</w:t>
            </w:r>
            <w:r w:rsidRPr="004615A2">
              <w:rPr>
                <w:color w:val="000000" w:themeColor="text1"/>
                <w:sz w:val="20"/>
                <w:szCs w:val="20"/>
              </w:rPr>
              <w:t>017.</w:t>
            </w:r>
            <w:r w:rsidRPr="004615A2">
              <w:rPr>
                <w:color w:val="000000" w:themeColor="text1"/>
                <w:sz w:val="20"/>
                <w:szCs w:val="20"/>
                <w:lang w:val="bs-Latn-BA"/>
              </w:rPr>
              <w:t xml:space="preserve"> godinu</w:t>
            </w:r>
          </w:p>
        </w:tc>
        <w:tc>
          <w:tcPr>
            <w:tcW w:w="2856" w:type="dxa"/>
            <w:vAlign w:val="center"/>
          </w:tcPr>
          <w:p w:rsidR="00046484" w:rsidRPr="004615A2" w:rsidRDefault="00046484" w:rsidP="00EF15FF">
            <w:pPr>
              <w:pStyle w:val="ListParagraph"/>
              <w:numPr>
                <w:ilvl w:val="0"/>
                <w:numId w:val="29"/>
              </w:numPr>
              <w:tabs>
                <w:tab w:val="left" w:pos="421"/>
              </w:tabs>
              <w:ind w:left="504"/>
              <w:jc w:val="left"/>
              <w:rPr>
                <w:sz w:val="20"/>
                <w:szCs w:val="20"/>
              </w:rPr>
            </w:pPr>
            <w:r w:rsidRPr="004615A2">
              <w:rPr>
                <w:sz w:val="20"/>
                <w:szCs w:val="20"/>
              </w:rPr>
              <w:t>Prosječno vrijeme pružanja usluga administracije</w:t>
            </w:r>
          </w:p>
          <w:p w:rsidR="00046484" w:rsidRPr="004615A2" w:rsidRDefault="00046484" w:rsidP="00EF15FF">
            <w:pPr>
              <w:pStyle w:val="ListParagraph"/>
              <w:numPr>
                <w:ilvl w:val="0"/>
                <w:numId w:val="29"/>
              </w:numPr>
              <w:tabs>
                <w:tab w:val="left" w:pos="421"/>
                <w:tab w:val="num" w:pos="505"/>
              </w:tabs>
              <w:ind w:left="504"/>
              <w:jc w:val="left"/>
              <w:rPr>
                <w:sz w:val="20"/>
                <w:szCs w:val="20"/>
              </w:rPr>
            </w:pPr>
            <w:r w:rsidRPr="004615A2">
              <w:rPr>
                <w:sz w:val="20"/>
                <w:szCs w:val="20"/>
                <w:lang w:val="sr-Latn-BA"/>
              </w:rPr>
              <w:t>Vrijeme pružanja administrativnih usluga za privrednike i predstavnike dijaspore</w:t>
            </w:r>
          </w:p>
          <w:p w:rsidR="00881DF1" w:rsidRPr="00881DF1" w:rsidRDefault="00046484" w:rsidP="00EF15FF">
            <w:pPr>
              <w:pStyle w:val="ListParagraph"/>
              <w:numPr>
                <w:ilvl w:val="0"/>
                <w:numId w:val="29"/>
              </w:numPr>
              <w:tabs>
                <w:tab w:val="num" w:pos="363"/>
              </w:tabs>
              <w:ind w:left="504"/>
              <w:jc w:val="left"/>
            </w:pPr>
            <w:r w:rsidRPr="004615A2">
              <w:rPr>
                <w:sz w:val="20"/>
                <w:szCs w:val="20"/>
              </w:rPr>
              <w:t>Iznos finansijskog i nefinansijskog učešća građana u MZ za lokalne razvojne inicijative (godišnje)</w:t>
            </w:r>
          </w:p>
        </w:tc>
      </w:tr>
      <w:tr w:rsidR="00881DF1" w:rsidRPr="00881DF1" w:rsidTr="00C86F0E">
        <w:trPr>
          <w:trHeight w:val="5811"/>
        </w:trPr>
        <w:tc>
          <w:tcPr>
            <w:tcW w:w="2660" w:type="dxa"/>
            <w:vAlign w:val="center"/>
          </w:tcPr>
          <w:p w:rsidR="00881DF1" w:rsidRPr="00EF15FF" w:rsidRDefault="0009289F" w:rsidP="00EF15FF">
            <w:pPr>
              <w:ind w:left="144"/>
              <w:jc w:val="left"/>
              <w:rPr>
                <w:b/>
                <w:sz w:val="20"/>
                <w:szCs w:val="20"/>
                <w:lang w:val="it-IT"/>
              </w:rPr>
            </w:pPr>
            <w:r>
              <w:rPr>
                <w:b/>
                <w:sz w:val="20"/>
                <w:szCs w:val="20"/>
                <w:lang w:val="it-IT"/>
              </w:rPr>
              <w:t>2.2. Unaprijediti obrazovne, sporske, kulturne sadržaje i kapacitete institucija u općini Kalesija</w:t>
            </w:r>
          </w:p>
        </w:tc>
        <w:tc>
          <w:tcPr>
            <w:tcW w:w="3897" w:type="dxa"/>
            <w:vAlign w:val="center"/>
          </w:tcPr>
          <w:p w:rsidR="00046484" w:rsidRPr="004615A2" w:rsidRDefault="00046484" w:rsidP="00EF15FF">
            <w:pPr>
              <w:pStyle w:val="ListParagraph"/>
              <w:numPr>
                <w:ilvl w:val="0"/>
                <w:numId w:val="29"/>
              </w:numPr>
              <w:ind w:left="504" w:right="-17"/>
              <w:jc w:val="left"/>
              <w:rPr>
                <w:sz w:val="20"/>
                <w:szCs w:val="20"/>
              </w:rPr>
            </w:pPr>
            <w:r w:rsidRPr="004615A2">
              <w:rPr>
                <w:sz w:val="20"/>
                <w:szCs w:val="20"/>
              </w:rPr>
              <w:t>Broj članova sportskih klubova povećan za 15% do kraja 2022. godine u odnosu na 2017. godinu;</w:t>
            </w:r>
          </w:p>
          <w:p w:rsidR="00046484" w:rsidRPr="004615A2" w:rsidRDefault="00046484" w:rsidP="00EF15FF">
            <w:pPr>
              <w:pStyle w:val="ListParagraph"/>
              <w:numPr>
                <w:ilvl w:val="0"/>
                <w:numId w:val="29"/>
              </w:numPr>
              <w:ind w:left="504" w:right="-17"/>
              <w:jc w:val="left"/>
              <w:rPr>
                <w:sz w:val="20"/>
                <w:szCs w:val="20"/>
              </w:rPr>
            </w:pPr>
            <w:r w:rsidRPr="004615A2">
              <w:rPr>
                <w:sz w:val="20"/>
                <w:szCs w:val="20"/>
              </w:rPr>
              <w:t>Broj građana koji se rekreativno bave sportom povećan za 10% do kraja 2022. godine u odnosu na 2017. godinu</w:t>
            </w:r>
          </w:p>
          <w:p w:rsidR="00046484" w:rsidRPr="004615A2" w:rsidRDefault="00046484" w:rsidP="00EF15FF">
            <w:pPr>
              <w:pStyle w:val="ListParagraph"/>
              <w:numPr>
                <w:ilvl w:val="0"/>
                <w:numId w:val="29"/>
              </w:numPr>
              <w:ind w:left="504" w:right="-17"/>
              <w:jc w:val="left"/>
              <w:rPr>
                <w:sz w:val="20"/>
                <w:szCs w:val="20"/>
              </w:rPr>
            </w:pPr>
            <w:r w:rsidRPr="004615A2">
              <w:rPr>
                <w:sz w:val="20"/>
                <w:szCs w:val="20"/>
              </w:rPr>
              <w:t>Obavezni vid preškolskog odgoja pohađaju sva djeca pred polazak u prvi razred u periodu 2018-2022. Godina</w:t>
            </w:r>
          </w:p>
          <w:p w:rsidR="00046484" w:rsidRPr="004615A2" w:rsidRDefault="00046484" w:rsidP="00EF15FF">
            <w:pPr>
              <w:pStyle w:val="ListParagraph"/>
              <w:numPr>
                <w:ilvl w:val="0"/>
                <w:numId w:val="29"/>
              </w:numPr>
              <w:ind w:left="504" w:right="-17"/>
              <w:jc w:val="left"/>
              <w:rPr>
                <w:sz w:val="20"/>
                <w:szCs w:val="20"/>
              </w:rPr>
            </w:pPr>
            <w:r w:rsidRPr="004615A2">
              <w:rPr>
                <w:sz w:val="20"/>
                <w:szCs w:val="20"/>
              </w:rPr>
              <w:t>Stepen zadovoljstva savjeta učenika kvalitetom nastave u osnovnim školama povećan za 15% do 2022. godine u odnosu na 2018. godinu</w:t>
            </w:r>
          </w:p>
          <w:p w:rsidR="00A174A1" w:rsidRPr="00A174A1" w:rsidRDefault="00046484" w:rsidP="00EF15FF">
            <w:pPr>
              <w:pStyle w:val="ListParagraph"/>
              <w:numPr>
                <w:ilvl w:val="0"/>
                <w:numId w:val="29"/>
              </w:numPr>
              <w:ind w:left="504" w:right="-17"/>
              <w:jc w:val="left"/>
            </w:pPr>
            <w:r w:rsidRPr="004615A2">
              <w:rPr>
                <w:sz w:val="20"/>
                <w:szCs w:val="20"/>
              </w:rPr>
              <w:t>Povećan broj građana koji se uključuju u kulturne manifestacije za 15% do</w:t>
            </w:r>
          </w:p>
          <w:p w:rsidR="00881DF1" w:rsidRPr="00881DF1" w:rsidRDefault="00046484" w:rsidP="00EF15FF">
            <w:pPr>
              <w:pStyle w:val="ListParagraph"/>
              <w:numPr>
                <w:ilvl w:val="0"/>
                <w:numId w:val="29"/>
              </w:numPr>
              <w:ind w:left="504" w:right="-17"/>
              <w:jc w:val="left"/>
            </w:pPr>
            <w:r w:rsidRPr="004615A2">
              <w:rPr>
                <w:sz w:val="20"/>
                <w:szCs w:val="20"/>
              </w:rPr>
              <w:t>2022. godine u odnosu na 2017. godinu</w:t>
            </w:r>
          </w:p>
        </w:tc>
        <w:tc>
          <w:tcPr>
            <w:tcW w:w="2856" w:type="dxa"/>
            <w:vAlign w:val="center"/>
          </w:tcPr>
          <w:p w:rsidR="00046484" w:rsidRPr="004615A2" w:rsidRDefault="00046484" w:rsidP="00EF15FF">
            <w:pPr>
              <w:pStyle w:val="ListParagraph"/>
              <w:numPr>
                <w:ilvl w:val="0"/>
                <w:numId w:val="29"/>
              </w:numPr>
              <w:ind w:left="504"/>
              <w:jc w:val="left"/>
              <w:rPr>
                <w:sz w:val="20"/>
                <w:szCs w:val="20"/>
              </w:rPr>
            </w:pPr>
            <w:r w:rsidRPr="004615A2">
              <w:rPr>
                <w:sz w:val="20"/>
                <w:szCs w:val="20"/>
              </w:rPr>
              <w:t>Broj članova sportskih klubova;</w:t>
            </w:r>
          </w:p>
          <w:p w:rsidR="00046484" w:rsidRPr="004615A2" w:rsidRDefault="00046484" w:rsidP="00EF15FF">
            <w:pPr>
              <w:pStyle w:val="ListParagraph"/>
              <w:numPr>
                <w:ilvl w:val="0"/>
                <w:numId w:val="29"/>
              </w:numPr>
              <w:ind w:left="504"/>
              <w:jc w:val="left"/>
              <w:rPr>
                <w:sz w:val="20"/>
                <w:szCs w:val="20"/>
              </w:rPr>
            </w:pPr>
            <w:r w:rsidRPr="004615A2">
              <w:rPr>
                <w:sz w:val="20"/>
                <w:szCs w:val="20"/>
              </w:rPr>
              <w:t>Broj građana koji se rekreativno bave sportom</w:t>
            </w:r>
          </w:p>
          <w:p w:rsidR="00046484" w:rsidRPr="004615A2" w:rsidRDefault="00046484" w:rsidP="00EF15FF">
            <w:pPr>
              <w:pStyle w:val="ListParagraph"/>
              <w:numPr>
                <w:ilvl w:val="0"/>
                <w:numId w:val="29"/>
              </w:numPr>
              <w:ind w:left="504"/>
              <w:jc w:val="left"/>
              <w:rPr>
                <w:sz w:val="20"/>
                <w:szCs w:val="20"/>
              </w:rPr>
            </w:pPr>
            <w:r w:rsidRPr="004615A2">
              <w:rPr>
                <w:sz w:val="20"/>
                <w:szCs w:val="20"/>
              </w:rPr>
              <w:t>Broj djece koja pohađaju obavezni vid preškolskog odgoja</w:t>
            </w:r>
          </w:p>
          <w:p w:rsidR="00046484" w:rsidRPr="004615A2" w:rsidRDefault="00046484" w:rsidP="00EF15FF">
            <w:pPr>
              <w:pStyle w:val="ListParagraph"/>
              <w:numPr>
                <w:ilvl w:val="0"/>
                <w:numId w:val="29"/>
              </w:numPr>
              <w:ind w:left="504"/>
              <w:jc w:val="left"/>
              <w:rPr>
                <w:sz w:val="20"/>
                <w:szCs w:val="20"/>
              </w:rPr>
            </w:pPr>
            <w:r w:rsidRPr="004615A2">
              <w:rPr>
                <w:sz w:val="20"/>
                <w:szCs w:val="20"/>
              </w:rPr>
              <w:t>Stepen zadovoljstva savjeta učenika kvalitetom nastave u osnovnim školama (ocjene na skali 1-5)</w:t>
            </w:r>
          </w:p>
          <w:p w:rsidR="00881DF1" w:rsidRPr="00881DF1" w:rsidRDefault="00046484" w:rsidP="00EF15FF">
            <w:pPr>
              <w:pStyle w:val="ListParagraph"/>
              <w:numPr>
                <w:ilvl w:val="0"/>
                <w:numId w:val="29"/>
              </w:numPr>
              <w:ind w:left="504"/>
              <w:jc w:val="left"/>
            </w:pPr>
            <w:r w:rsidRPr="004615A2">
              <w:rPr>
                <w:sz w:val="20"/>
                <w:szCs w:val="20"/>
              </w:rPr>
              <w:t>Broj građana koji se uključuju u kulturne manifestacije</w:t>
            </w:r>
          </w:p>
        </w:tc>
      </w:tr>
      <w:tr w:rsidR="00881DF1" w:rsidRPr="00881DF1" w:rsidTr="00C86F0E">
        <w:tc>
          <w:tcPr>
            <w:tcW w:w="2660" w:type="dxa"/>
            <w:vAlign w:val="center"/>
          </w:tcPr>
          <w:p w:rsidR="00881DF1" w:rsidRPr="00EF15FF" w:rsidRDefault="00D637F2" w:rsidP="00EF15FF">
            <w:pPr>
              <w:ind w:left="144"/>
              <w:jc w:val="left"/>
              <w:rPr>
                <w:b/>
                <w:sz w:val="20"/>
                <w:szCs w:val="20"/>
                <w:lang w:val="it-IT"/>
              </w:rPr>
            </w:pPr>
            <w:r w:rsidRPr="00EF15FF">
              <w:rPr>
                <w:b/>
                <w:sz w:val="20"/>
                <w:szCs w:val="20"/>
                <w:lang w:val="it-IT"/>
              </w:rPr>
              <w:t>2.3 Poboljšati kvalitet usluga u sektoru socijalne i zdravstvene zaštite u</w:t>
            </w:r>
            <w:r w:rsidR="0009289F">
              <w:rPr>
                <w:b/>
                <w:sz w:val="20"/>
                <w:szCs w:val="20"/>
                <w:lang w:val="it-IT"/>
              </w:rPr>
              <w:t xml:space="preserve"> općini Kalesija </w:t>
            </w:r>
          </w:p>
        </w:tc>
        <w:tc>
          <w:tcPr>
            <w:tcW w:w="3897" w:type="dxa"/>
            <w:vAlign w:val="center"/>
          </w:tcPr>
          <w:p w:rsidR="00D637F2" w:rsidRPr="004615A2" w:rsidRDefault="00D637F2" w:rsidP="00EF15FF">
            <w:pPr>
              <w:pStyle w:val="ListParagraph"/>
              <w:numPr>
                <w:ilvl w:val="0"/>
                <w:numId w:val="29"/>
              </w:numPr>
              <w:ind w:left="504"/>
              <w:jc w:val="left"/>
              <w:rPr>
                <w:sz w:val="20"/>
                <w:szCs w:val="20"/>
              </w:rPr>
            </w:pPr>
            <w:r w:rsidRPr="004615A2">
              <w:rPr>
                <w:sz w:val="20"/>
                <w:szCs w:val="20"/>
              </w:rPr>
              <w:t>Povećan broj zdravstvenih radnika na 1000 stanovnika za 15, do kraja 2022. godine u odnosu na 2017. godinu</w:t>
            </w:r>
          </w:p>
          <w:p w:rsidR="00881DF1" w:rsidRPr="00881DF1" w:rsidRDefault="00D637F2" w:rsidP="00EF15FF">
            <w:pPr>
              <w:pStyle w:val="ListParagraph"/>
              <w:numPr>
                <w:ilvl w:val="0"/>
                <w:numId w:val="29"/>
              </w:numPr>
              <w:ind w:left="504"/>
              <w:jc w:val="left"/>
            </w:pPr>
            <w:r w:rsidRPr="004615A2">
              <w:rPr>
                <w:sz w:val="20"/>
                <w:szCs w:val="20"/>
              </w:rPr>
              <w:t>Broj adekvatno zbrinutih socijalno ugroženih lica povećan za 10% do 2022. godine u odnosu na 2017. godinu</w:t>
            </w:r>
          </w:p>
        </w:tc>
        <w:tc>
          <w:tcPr>
            <w:tcW w:w="2856" w:type="dxa"/>
            <w:vAlign w:val="center"/>
          </w:tcPr>
          <w:p w:rsidR="00D637F2" w:rsidRPr="004615A2" w:rsidRDefault="00D637F2" w:rsidP="00EF15FF">
            <w:pPr>
              <w:pStyle w:val="ListParagraph"/>
              <w:numPr>
                <w:ilvl w:val="0"/>
                <w:numId w:val="29"/>
              </w:numPr>
              <w:ind w:left="504"/>
              <w:jc w:val="left"/>
              <w:rPr>
                <w:sz w:val="20"/>
                <w:szCs w:val="20"/>
              </w:rPr>
            </w:pPr>
            <w:r w:rsidRPr="004615A2">
              <w:rPr>
                <w:sz w:val="20"/>
                <w:szCs w:val="20"/>
              </w:rPr>
              <w:t>Broj zdravstvenih radnika na 1000 stanovnika / ukupan broj stanovnika općine</w:t>
            </w:r>
          </w:p>
          <w:p w:rsidR="00881DF1" w:rsidRPr="00881DF1" w:rsidRDefault="00D637F2" w:rsidP="00EF15FF">
            <w:pPr>
              <w:pStyle w:val="ListParagraph"/>
              <w:numPr>
                <w:ilvl w:val="0"/>
                <w:numId w:val="29"/>
              </w:numPr>
              <w:ind w:left="504"/>
              <w:jc w:val="left"/>
            </w:pPr>
            <w:r w:rsidRPr="004615A2">
              <w:rPr>
                <w:sz w:val="20"/>
                <w:szCs w:val="20"/>
              </w:rPr>
              <w:t>Broj adekvatno zbrinutih socijalno ugroženih lica godišnje</w:t>
            </w:r>
          </w:p>
        </w:tc>
      </w:tr>
    </w:tbl>
    <w:p w:rsidR="00881DF1" w:rsidRPr="00640569" w:rsidRDefault="00881DF1" w:rsidP="003663CA">
      <w:pPr>
        <w:pStyle w:val="Heading3"/>
      </w:pPr>
      <w:bookmarkStart w:id="123" w:name="_Toc491379780"/>
      <w:bookmarkStart w:id="124" w:name="_Toc500140055"/>
      <w:r w:rsidRPr="00640569">
        <w:t xml:space="preserve">V.2.2. Usklađenost sa strateškim </w:t>
      </w:r>
      <w:r w:rsidRPr="003663CA">
        <w:t>dokumentima</w:t>
      </w:r>
      <w:r w:rsidRPr="00640569">
        <w:t xml:space="preserve"> viših nivoa</w:t>
      </w:r>
      <w:bookmarkEnd w:id="123"/>
      <w:bookmarkEnd w:id="124"/>
    </w:p>
    <w:p w:rsidR="00394065" w:rsidRDefault="000B7C52" w:rsidP="00C86F0E">
      <w:r w:rsidRPr="000B7C52">
        <w:t xml:space="preserve">Prilikom </w:t>
      </w:r>
      <w:r>
        <w:t>izrade sektorskih planova razvoja razmatrane su strategije, planovi i zakoni na višim nivoima koji direktno ili indirektno mogu utje</w:t>
      </w:r>
      <w:r w:rsidR="00772468">
        <w:t>c</w:t>
      </w:r>
      <w:r>
        <w:t xml:space="preserve">ati ili utječu na razvoj lokalne zajednice. Sektorski ciljevi </w:t>
      </w:r>
      <w:r>
        <w:lastRenderedPageBreak/>
        <w:t xml:space="preserve">drustvenog razvoja su povezani sa pripadajućim elementima definisanim u Strategiji razvoja </w:t>
      </w:r>
      <w:r w:rsidR="00772468">
        <w:t>T</w:t>
      </w:r>
      <w:r>
        <w:t>uzlanskog kantona za period 2016-2020</w:t>
      </w:r>
      <w:r w:rsidR="00772468">
        <w:t>. godina,</w:t>
      </w:r>
      <w:r>
        <w:t xml:space="preserve"> prvenstveno sa drugim, trecim i četvrtim strateskim ciljom.</w:t>
      </w:r>
    </w:p>
    <w:p w:rsidR="000B7C52" w:rsidRDefault="00772468" w:rsidP="00C86F0E">
      <w:r>
        <w:rPr>
          <w:szCs w:val="24"/>
        </w:rPr>
        <w:t>Strateški</w:t>
      </w:r>
      <w:r w:rsidR="000B7C52">
        <w:rPr>
          <w:szCs w:val="24"/>
        </w:rPr>
        <w:t xml:space="preserve"> cilj</w:t>
      </w:r>
      <w:r>
        <w:rPr>
          <w:szCs w:val="24"/>
        </w:rPr>
        <w:t xml:space="preserve"> 2</w:t>
      </w:r>
      <w:r w:rsidR="000B7C52">
        <w:rPr>
          <w:szCs w:val="24"/>
        </w:rPr>
        <w:t xml:space="preserve">: </w:t>
      </w:r>
      <w:r w:rsidR="000B7C52" w:rsidRPr="00772468">
        <w:t>Poboljšati efikasnost</w:t>
      </w:r>
      <w:r w:rsidR="00281726" w:rsidRPr="00772468">
        <w:t xml:space="preserve"> </w:t>
      </w:r>
      <w:r w:rsidR="000B7C52" w:rsidRPr="00772468">
        <w:t>pružanja usluga i uređenost rada institucija u javnom sektoru, radi povećanj</w:t>
      </w:r>
      <w:r w:rsidRPr="00772468">
        <w:t>a</w:t>
      </w:r>
      <w:r w:rsidR="000B7C52" w:rsidRPr="00772468">
        <w:t xml:space="preserve"> kvalitete življenja građana općine Kalesija</w:t>
      </w:r>
      <w:r w:rsidR="00281726">
        <w:t xml:space="preserve"> je u potpunosti usklađen sa višim strateškim dokumentima, za poboljšanje efikasnosti pružanj</w:t>
      </w:r>
      <w:r>
        <w:t>a</w:t>
      </w:r>
      <w:r w:rsidR="00281726">
        <w:t xml:space="preserve"> usluga. </w:t>
      </w:r>
    </w:p>
    <w:p w:rsidR="007B26DF" w:rsidRPr="007B26DF" w:rsidRDefault="00281726" w:rsidP="00C86F0E">
      <w:pPr>
        <w:rPr>
          <w:color w:val="000000"/>
          <w:szCs w:val="27"/>
        </w:rPr>
      </w:pPr>
      <w:r w:rsidRPr="00281726">
        <w:t>Sektorski cilj</w:t>
      </w:r>
      <w:r w:rsidR="00772468">
        <w:t xml:space="preserve"> 2.2.</w:t>
      </w:r>
      <w:r w:rsidRPr="00281726">
        <w:t xml:space="preserve">: </w:t>
      </w:r>
      <w:r w:rsidRPr="00772468">
        <w:t>Izgraditi nedostojeće i unaprijediti postojeće obrazovne, sportske,  kulturne sadržaje i kapacitete institucija</w:t>
      </w:r>
      <w:r>
        <w:t xml:space="preserve"> je u skladu sa drugim strateškim ciljem</w:t>
      </w:r>
      <w:r w:rsidR="00772468">
        <w:t xml:space="preserve"> Strategije razvoja TK: </w:t>
      </w:r>
      <w:r w:rsidRPr="00772468">
        <w:rPr>
          <w:color w:val="000000"/>
          <w:szCs w:val="27"/>
        </w:rPr>
        <w:t>Uspostaviti efikasne sisteme upravljanaj razvojem ljudskih potencijala i tržišta rada u cilju povećanja zapošljavanja</w:t>
      </w:r>
      <w:r w:rsidRPr="00281726">
        <w:rPr>
          <w:color w:val="000000"/>
          <w:szCs w:val="27"/>
        </w:rPr>
        <w:t>, i to prioritet 1</w:t>
      </w:r>
      <w:r w:rsidR="00772468">
        <w:rPr>
          <w:color w:val="000000"/>
          <w:szCs w:val="27"/>
        </w:rPr>
        <w:t xml:space="preserve">: </w:t>
      </w:r>
      <w:r w:rsidRPr="00772468">
        <w:rPr>
          <w:color w:val="000000"/>
          <w:szCs w:val="27"/>
        </w:rPr>
        <w:t>Poboljšati kvalietu obrazovanja i naučno-istraživačkog rada</w:t>
      </w:r>
      <w:r w:rsidRPr="00281726">
        <w:rPr>
          <w:color w:val="000000"/>
          <w:szCs w:val="27"/>
        </w:rPr>
        <w:t>, te u skladu sa trećim strateškim ciljem</w:t>
      </w:r>
      <w:r w:rsidR="00772468">
        <w:rPr>
          <w:color w:val="000000"/>
          <w:szCs w:val="27"/>
        </w:rPr>
        <w:t xml:space="preserve">: </w:t>
      </w:r>
      <w:r w:rsidRPr="00772468">
        <w:rPr>
          <w:color w:val="000000"/>
          <w:szCs w:val="27"/>
        </w:rPr>
        <w:t>Poboljšati kvalitetu života, sigurnost i socijalnu uključenost građana i učiniti politiku socijale zaštite pravičnom i djelotvornom</w:t>
      </w:r>
      <w:r w:rsidRPr="00281726">
        <w:rPr>
          <w:color w:val="000000"/>
          <w:szCs w:val="27"/>
        </w:rPr>
        <w:t xml:space="preserve">, posebno u okviru prioriteta 1: </w:t>
      </w:r>
      <w:r w:rsidRPr="00772468">
        <w:rPr>
          <w:color w:val="000000"/>
          <w:szCs w:val="27"/>
        </w:rPr>
        <w:t>Poticati i razvijati sportsko-kulturne aktivnosti i prioriteta 2: Unaprijediti socijalnu i zdravstvenu zaštitu</w:t>
      </w:r>
      <w:r w:rsidRPr="00281726">
        <w:rPr>
          <w:color w:val="000000"/>
          <w:szCs w:val="27"/>
        </w:rPr>
        <w:t>.</w:t>
      </w:r>
    </w:p>
    <w:p w:rsidR="00881DF1" w:rsidRPr="00640569" w:rsidRDefault="00881DF1" w:rsidP="003663CA">
      <w:pPr>
        <w:pStyle w:val="Heading3"/>
      </w:pPr>
      <w:bookmarkStart w:id="125" w:name="_Toc491379781"/>
      <w:bookmarkStart w:id="126" w:name="_Toc500140056"/>
      <w:r w:rsidRPr="00640569">
        <w:t xml:space="preserve">V.2.3. Inicijative međuopćinske </w:t>
      </w:r>
      <w:r w:rsidRPr="003663CA">
        <w:t>saradnje</w:t>
      </w:r>
      <w:bookmarkEnd w:id="125"/>
      <w:bookmarkEnd w:id="126"/>
      <w:r w:rsidRPr="00640569">
        <w:t xml:space="preserve"> </w:t>
      </w:r>
    </w:p>
    <w:p w:rsidR="00881DF1" w:rsidRPr="00640569" w:rsidRDefault="00640569" w:rsidP="00C86F0E">
      <w:r w:rsidRPr="00640569">
        <w:rPr>
          <w:color w:val="000000"/>
          <w:szCs w:val="27"/>
        </w:rPr>
        <w:t>Fokusi međuopćinske saradnje u oblasti društvenog razvoja će biti na uspostavljanju i jačanju saradnje sa susjednim općinama u oblasti razmjene iskustava u unapređenju položaja socijalno osjetljivih kategorija društva, te razmjene iskustava u jačanju kapaciteta lokalne samouprave u domenu pisanja projektnih prijedloga i namicanju sredstava iz međunarodnih fondova. Pored toga, inicijative međuopćinske saradnje se očekuju u organizaciji kulturnih i sportskih događaja, te implementaciji aktivnosti koje će voditi ka jačem razvoju kulture i sporta u regiji.</w:t>
      </w:r>
    </w:p>
    <w:p w:rsidR="00881DF1" w:rsidRPr="00640569" w:rsidRDefault="00881DF1" w:rsidP="003663CA">
      <w:pPr>
        <w:pStyle w:val="Heading3"/>
      </w:pPr>
      <w:bookmarkStart w:id="127" w:name="_Toc491379782"/>
      <w:bookmarkStart w:id="128" w:name="_Toc500140057"/>
      <w:r w:rsidRPr="00640569">
        <w:t>V.2.4.</w:t>
      </w:r>
      <w:r w:rsidRPr="00640569">
        <w:tab/>
        <w:t xml:space="preserve">Programi, </w:t>
      </w:r>
      <w:r w:rsidRPr="003663CA">
        <w:t>projekti</w:t>
      </w:r>
      <w:r w:rsidRPr="00640569">
        <w:t xml:space="preserve"> i mjere</w:t>
      </w:r>
      <w:bookmarkEnd w:id="127"/>
      <w:bookmarkEnd w:id="128"/>
    </w:p>
    <w:p w:rsidR="00881DF1" w:rsidRPr="00820955" w:rsidRDefault="00820955" w:rsidP="00C86F0E">
      <w:r w:rsidRPr="00820955">
        <w:rPr>
          <w:color w:val="000000"/>
          <w:szCs w:val="27"/>
        </w:rPr>
        <w:t>Za realizaciju plana dr</w:t>
      </w:r>
      <w:r>
        <w:rPr>
          <w:color w:val="000000"/>
          <w:szCs w:val="27"/>
        </w:rPr>
        <w:t>u</w:t>
      </w:r>
      <w:r w:rsidR="00D155C4">
        <w:rPr>
          <w:color w:val="000000"/>
          <w:szCs w:val="27"/>
        </w:rPr>
        <w:t>štvenog razvoja općine Kalesija</w:t>
      </w:r>
      <w:r>
        <w:rPr>
          <w:color w:val="000000"/>
          <w:szCs w:val="27"/>
        </w:rPr>
        <w:t xml:space="preserve"> definisano je 3</w:t>
      </w:r>
      <w:r w:rsidRPr="00820955">
        <w:rPr>
          <w:color w:val="000000"/>
          <w:szCs w:val="27"/>
        </w:rPr>
        <w:t>6 projekata i mjera grupisanih u 7 programa.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690"/>
        <w:gridCol w:w="5552"/>
      </w:tblGrid>
      <w:tr w:rsidR="00881DF1" w:rsidRPr="00881DF1" w:rsidTr="00EF15FF">
        <w:tc>
          <w:tcPr>
            <w:tcW w:w="3690" w:type="dxa"/>
            <w:shd w:val="clear" w:color="auto" w:fill="BDD6EE" w:themeFill="accent1" w:themeFillTint="66"/>
            <w:vAlign w:val="center"/>
          </w:tcPr>
          <w:p w:rsidR="00881DF1" w:rsidRPr="00420B00" w:rsidRDefault="00881DF1" w:rsidP="00EF15FF">
            <w:pPr>
              <w:pStyle w:val="ListParagraph"/>
              <w:numPr>
                <w:ilvl w:val="0"/>
                <w:numId w:val="0"/>
              </w:numPr>
              <w:spacing w:after="0"/>
              <w:jc w:val="center"/>
              <w:rPr>
                <w:b/>
                <w:color w:val="5B9BD5" w:themeColor="accent1"/>
              </w:rPr>
            </w:pPr>
            <w:r w:rsidRPr="00420B00">
              <w:rPr>
                <w:b/>
              </w:rPr>
              <w:t>PROGRAM</w:t>
            </w:r>
          </w:p>
        </w:tc>
        <w:tc>
          <w:tcPr>
            <w:tcW w:w="5552" w:type="dxa"/>
            <w:shd w:val="clear" w:color="auto" w:fill="BDD6EE" w:themeFill="accent1" w:themeFillTint="66"/>
            <w:vAlign w:val="center"/>
          </w:tcPr>
          <w:p w:rsidR="00881DF1" w:rsidRPr="00420B00" w:rsidRDefault="00881DF1" w:rsidP="00EF15FF">
            <w:pPr>
              <w:pStyle w:val="ListParagraph"/>
              <w:numPr>
                <w:ilvl w:val="0"/>
                <w:numId w:val="0"/>
              </w:numPr>
              <w:spacing w:after="0"/>
              <w:ind w:left="720"/>
              <w:jc w:val="center"/>
              <w:rPr>
                <w:b/>
                <w:color w:val="5B9BD5" w:themeColor="accent1"/>
              </w:rPr>
            </w:pPr>
            <w:r w:rsidRPr="00420B00">
              <w:rPr>
                <w:b/>
              </w:rPr>
              <w:t>MJERA/PROJEKAT</w:t>
            </w:r>
          </w:p>
        </w:tc>
      </w:tr>
      <w:tr w:rsidR="001B128C" w:rsidRPr="00881DF1" w:rsidTr="00EF15FF">
        <w:tc>
          <w:tcPr>
            <w:tcW w:w="3690" w:type="dxa"/>
            <w:vMerge w:val="restart"/>
            <w:shd w:val="clear" w:color="auto" w:fill="auto"/>
            <w:vAlign w:val="center"/>
          </w:tcPr>
          <w:p w:rsidR="001B128C" w:rsidRPr="00A174A1" w:rsidRDefault="001B128C" w:rsidP="00EF15FF">
            <w:pPr>
              <w:pStyle w:val="ListParagraph"/>
              <w:numPr>
                <w:ilvl w:val="0"/>
                <w:numId w:val="0"/>
              </w:numPr>
              <w:spacing w:after="0"/>
              <w:jc w:val="left"/>
              <w:rPr>
                <w:sz w:val="20"/>
                <w:szCs w:val="20"/>
              </w:rPr>
            </w:pPr>
            <w:r w:rsidRPr="00053E79">
              <w:rPr>
                <w:b/>
                <w:noProof/>
                <w:sz w:val="20"/>
                <w:szCs w:val="20"/>
                <w:lang w:val="bs-Latn-BA"/>
              </w:rPr>
              <w:t>2</w:t>
            </w:r>
            <w:r w:rsidRPr="00053E79">
              <w:rPr>
                <w:b/>
                <w:noProof/>
                <w:sz w:val="20"/>
                <w:szCs w:val="20"/>
                <w:lang w:val="sr-Cyrl-BA"/>
              </w:rPr>
              <w:t>.1.1</w:t>
            </w:r>
            <w:r w:rsidRPr="00053E79">
              <w:rPr>
                <w:b/>
                <w:noProof/>
                <w:sz w:val="20"/>
                <w:szCs w:val="20"/>
                <w:lang w:val="bs-Latn-BA"/>
              </w:rPr>
              <w:t xml:space="preserve">. </w:t>
            </w:r>
            <w:r w:rsidR="00C86F0E">
              <w:rPr>
                <w:b/>
                <w:noProof/>
                <w:sz w:val="20"/>
                <w:szCs w:val="20"/>
                <w:lang w:val="bs-Latn-BA"/>
              </w:rPr>
              <w:t xml:space="preserve"> </w:t>
            </w:r>
            <w:r w:rsidRPr="00053E79">
              <w:rPr>
                <w:b/>
                <w:noProof/>
                <w:sz w:val="20"/>
                <w:szCs w:val="20"/>
                <w:lang w:val="bs-Latn-BA"/>
              </w:rPr>
              <w:t>ADMINISTRATIVNI PROCESI</w:t>
            </w:r>
          </w:p>
        </w:tc>
        <w:tc>
          <w:tcPr>
            <w:tcW w:w="5552" w:type="dxa"/>
            <w:shd w:val="clear" w:color="auto" w:fill="auto"/>
            <w:vAlign w:val="center"/>
          </w:tcPr>
          <w:p w:rsidR="001B128C" w:rsidRPr="006C58C7" w:rsidRDefault="001B128C" w:rsidP="00EF15FF">
            <w:pPr>
              <w:spacing w:after="0"/>
              <w:jc w:val="left"/>
              <w:rPr>
                <w:sz w:val="20"/>
                <w:szCs w:val="20"/>
              </w:rPr>
            </w:pPr>
            <w:r w:rsidRPr="006C58C7">
              <w:rPr>
                <w:sz w:val="20"/>
                <w:szCs w:val="20"/>
              </w:rPr>
              <w:t>2.1.1.1. Razvoj, održavanje i poboljšanje sistema upravljanja kvalitetom u skladu sa standardom BAS EN ISO 9001:2000</w:t>
            </w:r>
          </w:p>
        </w:tc>
      </w:tr>
      <w:tr w:rsidR="001B128C" w:rsidRPr="00881DF1" w:rsidTr="00EF15FF">
        <w:tc>
          <w:tcPr>
            <w:tcW w:w="3690" w:type="dxa"/>
            <w:vMerge/>
            <w:shd w:val="clear" w:color="auto" w:fill="auto"/>
            <w:vAlign w:val="center"/>
          </w:tcPr>
          <w:p w:rsidR="001B128C" w:rsidRPr="00881DF1" w:rsidRDefault="001B128C" w:rsidP="00EF15FF">
            <w:pPr>
              <w:pStyle w:val="ListParagraph"/>
              <w:spacing w:after="0"/>
              <w:ind w:left="0" w:firstLine="0"/>
              <w:jc w:val="left"/>
            </w:pPr>
          </w:p>
        </w:tc>
        <w:tc>
          <w:tcPr>
            <w:tcW w:w="5552" w:type="dxa"/>
            <w:tcBorders>
              <w:top w:val="single" w:sz="4" w:space="0" w:color="auto"/>
              <w:bottom w:val="single" w:sz="4" w:space="0" w:color="auto"/>
            </w:tcBorders>
            <w:shd w:val="clear" w:color="auto" w:fill="auto"/>
            <w:vAlign w:val="center"/>
          </w:tcPr>
          <w:p w:rsidR="001B128C" w:rsidRPr="006C58C7" w:rsidRDefault="001B128C" w:rsidP="00EF15FF">
            <w:pPr>
              <w:spacing w:after="0"/>
              <w:jc w:val="left"/>
              <w:rPr>
                <w:sz w:val="20"/>
                <w:szCs w:val="20"/>
              </w:rPr>
            </w:pPr>
            <w:r w:rsidRPr="006C58C7">
              <w:rPr>
                <w:sz w:val="20"/>
                <w:szCs w:val="20"/>
              </w:rPr>
              <w:t>2.1.1.2. Poboljšanje upravljanja ljudskim resursima.</w:t>
            </w:r>
          </w:p>
        </w:tc>
      </w:tr>
      <w:tr w:rsidR="001B128C" w:rsidRPr="00881DF1" w:rsidTr="00EF15FF">
        <w:tc>
          <w:tcPr>
            <w:tcW w:w="3690" w:type="dxa"/>
            <w:vMerge/>
            <w:shd w:val="clear" w:color="auto" w:fill="auto"/>
            <w:vAlign w:val="center"/>
          </w:tcPr>
          <w:p w:rsidR="001B128C" w:rsidRPr="00881DF1" w:rsidRDefault="001B128C" w:rsidP="00EF15FF">
            <w:pPr>
              <w:pStyle w:val="ListParagraph"/>
              <w:spacing w:after="0"/>
              <w:ind w:left="0" w:firstLine="0"/>
              <w:jc w:val="left"/>
            </w:pPr>
          </w:p>
        </w:tc>
        <w:tc>
          <w:tcPr>
            <w:tcW w:w="5552" w:type="dxa"/>
            <w:tcBorders>
              <w:top w:val="single" w:sz="4" w:space="0" w:color="auto"/>
            </w:tcBorders>
            <w:shd w:val="clear" w:color="auto" w:fill="auto"/>
            <w:vAlign w:val="center"/>
          </w:tcPr>
          <w:p w:rsidR="001B128C" w:rsidRPr="006C58C7" w:rsidRDefault="001B128C" w:rsidP="00EF15FF">
            <w:pPr>
              <w:spacing w:after="0"/>
              <w:jc w:val="left"/>
              <w:rPr>
                <w:sz w:val="20"/>
                <w:szCs w:val="20"/>
              </w:rPr>
            </w:pPr>
            <w:r w:rsidRPr="006C58C7">
              <w:rPr>
                <w:sz w:val="20"/>
                <w:szCs w:val="20"/>
              </w:rPr>
              <w:t>2.1.1.3. Projekat osnivanja kancelarije za privrednike i dijasporu</w:t>
            </w:r>
          </w:p>
        </w:tc>
      </w:tr>
      <w:tr w:rsidR="001B128C" w:rsidRPr="00881DF1" w:rsidTr="00EF15FF">
        <w:tc>
          <w:tcPr>
            <w:tcW w:w="3690" w:type="dxa"/>
            <w:vMerge w:val="restart"/>
            <w:shd w:val="clear" w:color="auto" w:fill="auto"/>
            <w:vAlign w:val="center"/>
          </w:tcPr>
          <w:p w:rsidR="00655CBE" w:rsidRPr="00C357F2" w:rsidRDefault="00C86F0E" w:rsidP="00C86F0E">
            <w:pPr>
              <w:pStyle w:val="ListParagraph"/>
              <w:numPr>
                <w:ilvl w:val="2"/>
                <w:numId w:val="40"/>
              </w:numPr>
              <w:spacing w:after="0"/>
              <w:ind w:left="463" w:hanging="463"/>
              <w:jc w:val="left"/>
              <w:rPr>
                <w:sz w:val="20"/>
              </w:rPr>
            </w:pPr>
            <w:r>
              <w:rPr>
                <w:b/>
                <w:noProof/>
                <w:sz w:val="20"/>
                <w:szCs w:val="20"/>
              </w:rPr>
              <w:t xml:space="preserve"> </w:t>
            </w:r>
            <w:r w:rsidR="001B128C" w:rsidRPr="00C357F2">
              <w:rPr>
                <w:b/>
                <w:noProof/>
                <w:sz w:val="20"/>
                <w:szCs w:val="20"/>
              </w:rPr>
              <w:t>MATERIJALNO-TEHNIČKO</w:t>
            </w:r>
          </w:p>
          <w:p w:rsidR="001B128C" w:rsidRPr="00881DF1" w:rsidRDefault="001B128C" w:rsidP="00EF15FF">
            <w:pPr>
              <w:pStyle w:val="ListParagraph"/>
              <w:numPr>
                <w:ilvl w:val="0"/>
                <w:numId w:val="0"/>
              </w:numPr>
              <w:spacing w:after="0"/>
              <w:jc w:val="left"/>
            </w:pPr>
            <w:r w:rsidRPr="00053E79">
              <w:rPr>
                <w:b/>
                <w:noProof/>
                <w:sz w:val="20"/>
                <w:szCs w:val="20"/>
              </w:rPr>
              <w:t>OPREMANJE</w:t>
            </w:r>
            <w:r w:rsidR="00E650B4" w:rsidRPr="00053E79">
              <w:rPr>
                <w:b/>
                <w:noProof/>
                <w:sz w:val="20"/>
                <w:szCs w:val="20"/>
              </w:rPr>
              <w:t xml:space="preserve"> OPĆINSKI  SLUŽBI</w:t>
            </w:r>
          </w:p>
        </w:tc>
        <w:tc>
          <w:tcPr>
            <w:tcW w:w="5552" w:type="dxa"/>
            <w:shd w:val="clear" w:color="auto" w:fill="auto"/>
            <w:vAlign w:val="center"/>
          </w:tcPr>
          <w:p w:rsidR="001B128C" w:rsidRPr="006C58C7" w:rsidRDefault="00702F48" w:rsidP="00C357F2">
            <w:pPr>
              <w:spacing w:after="0"/>
              <w:jc w:val="left"/>
              <w:rPr>
                <w:sz w:val="20"/>
                <w:szCs w:val="20"/>
              </w:rPr>
            </w:pPr>
            <w:r w:rsidRPr="006C58C7">
              <w:rPr>
                <w:bCs/>
                <w:sz w:val="20"/>
                <w:szCs w:val="20"/>
              </w:rPr>
              <w:t>2.</w:t>
            </w:r>
            <w:r w:rsidR="00C357F2">
              <w:rPr>
                <w:bCs/>
                <w:sz w:val="20"/>
                <w:szCs w:val="20"/>
              </w:rPr>
              <w:t>1</w:t>
            </w:r>
            <w:r w:rsidRPr="006C58C7">
              <w:rPr>
                <w:bCs/>
                <w:sz w:val="20"/>
                <w:szCs w:val="20"/>
              </w:rPr>
              <w:t>.</w:t>
            </w:r>
            <w:r w:rsidR="00C357F2">
              <w:rPr>
                <w:bCs/>
                <w:sz w:val="20"/>
                <w:szCs w:val="20"/>
              </w:rPr>
              <w:t>2</w:t>
            </w:r>
            <w:r w:rsidRPr="006C58C7">
              <w:rPr>
                <w:bCs/>
                <w:sz w:val="20"/>
                <w:szCs w:val="20"/>
              </w:rPr>
              <w:t>.1. U</w:t>
            </w:r>
            <w:r w:rsidRPr="006C58C7">
              <w:rPr>
                <w:sz w:val="20"/>
                <w:szCs w:val="20"/>
              </w:rPr>
              <w:t>vođenje nove informacijsko-komunikacijske tehnologije</w:t>
            </w:r>
          </w:p>
        </w:tc>
      </w:tr>
      <w:tr w:rsidR="001B128C" w:rsidRPr="00881DF1" w:rsidTr="00EF15FF">
        <w:tc>
          <w:tcPr>
            <w:tcW w:w="3690" w:type="dxa"/>
            <w:vMerge/>
            <w:shd w:val="clear" w:color="auto" w:fill="auto"/>
            <w:vAlign w:val="center"/>
          </w:tcPr>
          <w:p w:rsidR="001B128C" w:rsidRPr="00881DF1" w:rsidRDefault="001B128C" w:rsidP="00EF15FF">
            <w:pPr>
              <w:pStyle w:val="ListParagraph"/>
              <w:spacing w:after="0"/>
              <w:ind w:left="0" w:firstLine="0"/>
              <w:jc w:val="left"/>
            </w:pPr>
          </w:p>
        </w:tc>
        <w:tc>
          <w:tcPr>
            <w:tcW w:w="5552" w:type="dxa"/>
            <w:shd w:val="clear" w:color="auto" w:fill="auto"/>
            <w:vAlign w:val="center"/>
          </w:tcPr>
          <w:p w:rsidR="001B128C" w:rsidRPr="006C58C7" w:rsidRDefault="00C52EDD" w:rsidP="00C357F2">
            <w:pPr>
              <w:spacing w:after="0"/>
              <w:jc w:val="left"/>
              <w:rPr>
                <w:sz w:val="20"/>
                <w:szCs w:val="20"/>
              </w:rPr>
            </w:pPr>
            <w:r w:rsidRPr="006C58C7">
              <w:rPr>
                <w:sz w:val="20"/>
                <w:szCs w:val="20"/>
              </w:rPr>
              <w:t>2.</w:t>
            </w:r>
            <w:r w:rsidR="00C357F2">
              <w:rPr>
                <w:sz w:val="20"/>
                <w:szCs w:val="20"/>
              </w:rPr>
              <w:t>1</w:t>
            </w:r>
            <w:r w:rsidRPr="006C58C7">
              <w:rPr>
                <w:sz w:val="20"/>
                <w:szCs w:val="20"/>
              </w:rPr>
              <w:t>.</w:t>
            </w:r>
            <w:r w:rsidR="00C357F2">
              <w:rPr>
                <w:sz w:val="20"/>
                <w:szCs w:val="20"/>
              </w:rPr>
              <w:t>2.</w:t>
            </w:r>
            <w:r w:rsidRPr="006C58C7">
              <w:rPr>
                <w:sz w:val="20"/>
                <w:szCs w:val="20"/>
              </w:rPr>
              <w:t>2. Stvaranje prostornih, tehničkih i materijalnih uslova za efikasan rad općinskih službi</w:t>
            </w:r>
          </w:p>
        </w:tc>
      </w:tr>
      <w:tr w:rsidR="00702F48" w:rsidRPr="00881DF1" w:rsidTr="00EF15FF">
        <w:tc>
          <w:tcPr>
            <w:tcW w:w="3690" w:type="dxa"/>
            <w:vMerge/>
            <w:shd w:val="clear" w:color="auto" w:fill="auto"/>
            <w:vAlign w:val="center"/>
          </w:tcPr>
          <w:p w:rsidR="00702F48" w:rsidRPr="00881DF1" w:rsidRDefault="00702F48" w:rsidP="00EF15FF">
            <w:pPr>
              <w:pStyle w:val="ListParagraph"/>
              <w:spacing w:after="0"/>
              <w:ind w:left="0" w:firstLine="0"/>
              <w:jc w:val="left"/>
            </w:pPr>
          </w:p>
        </w:tc>
        <w:tc>
          <w:tcPr>
            <w:tcW w:w="5552" w:type="dxa"/>
            <w:shd w:val="clear" w:color="auto" w:fill="auto"/>
            <w:vAlign w:val="center"/>
          </w:tcPr>
          <w:p w:rsidR="00702F48" w:rsidRPr="006C58C7" w:rsidRDefault="00C52EDD" w:rsidP="00C357F2">
            <w:pPr>
              <w:spacing w:after="0"/>
              <w:jc w:val="left"/>
              <w:rPr>
                <w:sz w:val="20"/>
                <w:szCs w:val="20"/>
              </w:rPr>
            </w:pPr>
            <w:r w:rsidRPr="006C58C7">
              <w:rPr>
                <w:sz w:val="20"/>
                <w:szCs w:val="20"/>
              </w:rPr>
              <w:t>2.</w:t>
            </w:r>
            <w:r w:rsidR="00C357F2">
              <w:rPr>
                <w:sz w:val="20"/>
                <w:szCs w:val="20"/>
              </w:rPr>
              <w:t>1.2.3.</w:t>
            </w:r>
            <w:r w:rsidRPr="006C58C7">
              <w:rPr>
                <w:sz w:val="20"/>
                <w:szCs w:val="20"/>
              </w:rPr>
              <w:t>. Projekat uređenja prostorija MZ-a  mjesnih ureda, poboljšanje uslova rada u MZ i izgradnja pristupnih rampi za invalide</w:t>
            </w:r>
          </w:p>
        </w:tc>
      </w:tr>
      <w:tr w:rsidR="00A85CFB" w:rsidRPr="00881DF1" w:rsidTr="00EF15FF">
        <w:tc>
          <w:tcPr>
            <w:tcW w:w="3690" w:type="dxa"/>
            <w:vMerge w:val="restart"/>
            <w:shd w:val="clear" w:color="auto" w:fill="auto"/>
            <w:vAlign w:val="center"/>
          </w:tcPr>
          <w:p w:rsidR="00A85CFB" w:rsidRPr="00881DF1" w:rsidRDefault="00A85CFB" w:rsidP="00EF15FF">
            <w:pPr>
              <w:pStyle w:val="ListParagraph"/>
              <w:numPr>
                <w:ilvl w:val="0"/>
                <w:numId w:val="0"/>
              </w:numPr>
              <w:spacing w:after="0"/>
              <w:jc w:val="left"/>
            </w:pPr>
            <w:r w:rsidRPr="00053E79">
              <w:rPr>
                <w:b/>
                <w:noProof/>
                <w:sz w:val="20"/>
                <w:szCs w:val="20"/>
                <w:lang w:val="bs-Latn-BA"/>
              </w:rPr>
              <w:t>2</w:t>
            </w:r>
            <w:r w:rsidRPr="00053E79">
              <w:rPr>
                <w:b/>
                <w:noProof/>
                <w:sz w:val="20"/>
                <w:szCs w:val="20"/>
                <w:lang w:val="sr-Cyrl-BA"/>
              </w:rPr>
              <w:t>.</w:t>
            </w:r>
            <w:r w:rsidRPr="00053E79">
              <w:rPr>
                <w:b/>
                <w:noProof/>
                <w:sz w:val="20"/>
                <w:szCs w:val="20"/>
                <w:lang w:val="bs-Latn-BA"/>
              </w:rPr>
              <w:t>2</w:t>
            </w:r>
            <w:r w:rsidRPr="00053E79">
              <w:rPr>
                <w:b/>
                <w:noProof/>
                <w:sz w:val="20"/>
                <w:szCs w:val="20"/>
                <w:lang w:val="sr-Cyrl-BA"/>
              </w:rPr>
              <w:t>.1</w:t>
            </w:r>
            <w:r w:rsidR="00D83891" w:rsidRPr="00053E79">
              <w:rPr>
                <w:b/>
                <w:noProof/>
                <w:sz w:val="20"/>
                <w:szCs w:val="20"/>
                <w:lang w:val="bs-Latn-BA"/>
              </w:rPr>
              <w:t>. SPORT</w:t>
            </w:r>
          </w:p>
        </w:tc>
        <w:tc>
          <w:tcPr>
            <w:tcW w:w="5552" w:type="dxa"/>
            <w:shd w:val="clear" w:color="auto" w:fill="auto"/>
            <w:vAlign w:val="center"/>
          </w:tcPr>
          <w:p w:rsidR="00A85CFB" w:rsidRPr="006C58C7" w:rsidRDefault="00A85CFB" w:rsidP="00EF15FF">
            <w:pPr>
              <w:spacing w:after="0"/>
              <w:jc w:val="left"/>
              <w:rPr>
                <w:sz w:val="20"/>
                <w:szCs w:val="20"/>
              </w:rPr>
            </w:pPr>
            <w:r w:rsidRPr="006C58C7">
              <w:rPr>
                <w:sz w:val="20"/>
                <w:szCs w:val="20"/>
              </w:rPr>
              <w:t>2.2.1.1. Projekat završetka sportske dvorane</w:t>
            </w:r>
          </w:p>
        </w:tc>
      </w:tr>
      <w:tr w:rsidR="00A85CFB" w:rsidRPr="00881DF1" w:rsidTr="00EF15FF">
        <w:tc>
          <w:tcPr>
            <w:tcW w:w="3690" w:type="dxa"/>
            <w:vMerge/>
            <w:shd w:val="clear" w:color="auto" w:fill="auto"/>
            <w:vAlign w:val="center"/>
          </w:tcPr>
          <w:p w:rsidR="00A85CFB" w:rsidRPr="00881DF1" w:rsidRDefault="00A85CFB" w:rsidP="00EF15FF">
            <w:pPr>
              <w:pStyle w:val="ListParagraph"/>
              <w:spacing w:after="0"/>
              <w:ind w:left="0" w:firstLine="0"/>
              <w:jc w:val="left"/>
            </w:pPr>
          </w:p>
        </w:tc>
        <w:tc>
          <w:tcPr>
            <w:tcW w:w="5552" w:type="dxa"/>
            <w:shd w:val="clear" w:color="auto" w:fill="auto"/>
            <w:vAlign w:val="center"/>
          </w:tcPr>
          <w:p w:rsidR="00B72689" w:rsidRPr="006C58C7" w:rsidRDefault="00A85CFB" w:rsidP="00EF15FF">
            <w:pPr>
              <w:spacing w:after="0"/>
              <w:jc w:val="left"/>
              <w:rPr>
                <w:sz w:val="20"/>
                <w:szCs w:val="20"/>
              </w:rPr>
            </w:pPr>
            <w:r w:rsidRPr="006C58C7">
              <w:rPr>
                <w:sz w:val="20"/>
                <w:szCs w:val="20"/>
              </w:rPr>
              <w:t>2.2.1.2. Projekat izgradnje novih, sanacija i opremanje postojećih sportskih poligona u svim MZ</w:t>
            </w:r>
          </w:p>
        </w:tc>
      </w:tr>
      <w:tr w:rsidR="00A85CFB" w:rsidRPr="00881DF1" w:rsidTr="00EF15FF">
        <w:tc>
          <w:tcPr>
            <w:tcW w:w="3690" w:type="dxa"/>
            <w:vMerge/>
            <w:shd w:val="clear" w:color="auto" w:fill="auto"/>
            <w:vAlign w:val="center"/>
          </w:tcPr>
          <w:p w:rsidR="00A85CFB" w:rsidRPr="00881DF1" w:rsidRDefault="00A85CFB" w:rsidP="00EF15FF">
            <w:pPr>
              <w:pStyle w:val="ListParagraph"/>
              <w:spacing w:after="0"/>
              <w:ind w:left="0" w:firstLine="0"/>
              <w:jc w:val="left"/>
            </w:pPr>
          </w:p>
        </w:tc>
        <w:tc>
          <w:tcPr>
            <w:tcW w:w="5552" w:type="dxa"/>
            <w:tcBorders>
              <w:bottom w:val="single" w:sz="4" w:space="0" w:color="auto"/>
            </w:tcBorders>
            <w:shd w:val="clear" w:color="auto" w:fill="auto"/>
            <w:vAlign w:val="center"/>
          </w:tcPr>
          <w:p w:rsidR="00A85CFB" w:rsidRPr="006C58C7" w:rsidRDefault="00A85CFB" w:rsidP="00EF15FF">
            <w:pPr>
              <w:spacing w:after="0"/>
              <w:jc w:val="left"/>
              <w:rPr>
                <w:sz w:val="20"/>
                <w:szCs w:val="20"/>
              </w:rPr>
            </w:pPr>
            <w:r w:rsidRPr="006C58C7">
              <w:rPr>
                <w:sz w:val="20"/>
                <w:szCs w:val="20"/>
              </w:rPr>
              <w:t>2.2.1.3. Uspostava godišnjeg kalendara kulturnih i sportskih manifestacija</w:t>
            </w:r>
          </w:p>
        </w:tc>
      </w:tr>
      <w:tr w:rsidR="00A85CFB" w:rsidRPr="00881DF1" w:rsidTr="00EF15FF">
        <w:tc>
          <w:tcPr>
            <w:tcW w:w="3690" w:type="dxa"/>
            <w:vMerge/>
            <w:shd w:val="clear" w:color="auto" w:fill="auto"/>
            <w:vAlign w:val="center"/>
          </w:tcPr>
          <w:p w:rsidR="00A85CFB" w:rsidRPr="00881DF1" w:rsidRDefault="00A85CFB" w:rsidP="00EF15FF">
            <w:pPr>
              <w:pStyle w:val="ListParagraph"/>
              <w:spacing w:after="0"/>
              <w:ind w:left="0" w:firstLine="0"/>
              <w:jc w:val="left"/>
            </w:pPr>
          </w:p>
        </w:tc>
        <w:tc>
          <w:tcPr>
            <w:tcW w:w="5552" w:type="dxa"/>
            <w:tcBorders>
              <w:top w:val="single" w:sz="4" w:space="0" w:color="auto"/>
              <w:bottom w:val="single" w:sz="4" w:space="0" w:color="auto"/>
            </w:tcBorders>
            <w:shd w:val="clear" w:color="auto" w:fill="auto"/>
            <w:vAlign w:val="center"/>
          </w:tcPr>
          <w:p w:rsidR="00A85CFB" w:rsidRPr="006C58C7" w:rsidRDefault="00A85CFB" w:rsidP="00EF15FF">
            <w:pPr>
              <w:spacing w:after="0"/>
              <w:jc w:val="left"/>
              <w:rPr>
                <w:sz w:val="20"/>
                <w:szCs w:val="20"/>
              </w:rPr>
            </w:pPr>
            <w:r w:rsidRPr="006C58C7">
              <w:rPr>
                <w:sz w:val="20"/>
                <w:szCs w:val="20"/>
              </w:rPr>
              <w:t>2.2.1.4. Projekat pomoći i podrške udruženjima građana putem objavljivanja javnog poziva za projekte, prema utvrđenim kriterijima sa fokusom na razvoj kulture I sporta</w:t>
            </w:r>
          </w:p>
        </w:tc>
      </w:tr>
      <w:tr w:rsidR="00A85CFB" w:rsidRPr="00881DF1" w:rsidTr="00EF15FF">
        <w:tc>
          <w:tcPr>
            <w:tcW w:w="3690" w:type="dxa"/>
            <w:vMerge/>
            <w:shd w:val="clear" w:color="auto" w:fill="auto"/>
            <w:vAlign w:val="center"/>
          </w:tcPr>
          <w:p w:rsidR="00A85CFB" w:rsidRPr="00881DF1" w:rsidRDefault="00A85CFB" w:rsidP="00EF15FF">
            <w:pPr>
              <w:pStyle w:val="ListParagraph"/>
              <w:spacing w:after="0"/>
              <w:ind w:left="0" w:firstLine="0"/>
              <w:jc w:val="left"/>
            </w:pPr>
          </w:p>
        </w:tc>
        <w:tc>
          <w:tcPr>
            <w:tcW w:w="5552" w:type="dxa"/>
            <w:tcBorders>
              <w:top w:val="single" w:sz="4" w:space="0" w:color="auto"/>
              <w:bottom w:val="single" w:sz="4" w:space="0" w:color="auto"/>
            </w:tcBorders>
            <w:shd w:val="clear" w:color="auto" w:fill="auto"/>
            <w:vAlign w:val="center"/>
          </w:tcPr>
          <w:p w:rsidR="00A85CFB" w:rsidRPr="006C58C7" w:rsidRDefault="00A85CFB" w:rsidP="00EF15FF">
            <w:pPr>
              <w:spacing w:after="0"/>
              <w:jc w:val="left"/>
              <w:rPr>
                <w:sz w:val="20"/>
                <w:szCs w:val="20"/>
              </w:rPr>
            </w:pPr>
            <w:r w:rsidRPr="006C58C7">
              <w:rPr>
                <w:sz w:val="20"/>
                <w:szCs w:val="20"/>
              </w:rPr>
              <w:t>2.2.1.5. Projekat izgradnje gradskog bazena-I faza;</w:t>
            </w:r>
          </w:p>
        </w:tc>
      </w:tr>
      <w:tr w:rsidR="00A85CFB" w:rsidRPr="00881DF1" w:rsidTr="00EF15FF">
        <w:tc>
          <w:tcPr>
            <w:tcW w:w="3690" w:type="dxa"/>
            <w:vMerge/>
            <w:shd w:val="clear" w:color="auto" w:fill="auto"/>
            <w:vAlign w:val="center"/>
          </w:tcPr>
          <w:p w:rsidR="00A85CFB" w:rsidRPr="00881DF1" w:rsidRDefault="00A85CFB" w:rsidP="00EF15FF">
            <w:pPr>
              <w:pStyle w:val="ListParagraph"/>
              <w:spacing w:after="0"/>
              <w:ind w:left="0" w:firstLine="0"/>
              <w:jc w:val="left"/>
            </w:pPr>
          </w:p>
        </w:tc>
        <w:tc>
          <w:tcPr>
            <w:tcW w:w="5552" w:type="dxa"/>
            <w:tcBorders>
              <w:top w:val="single" w:sz="4" w:space="0" w:color="auto"/>
              <w:bottom w:val="single" w:sz="4" w:space="0" w:color="auto"/>
            </w:tcBorders>
            <w:shd w:val="clear" w:color="auto" w:fill="auto"/>
            <w:vAlign w:val="center"/>
          </w:tcPr>
          <w:p w:rsidR="00A85CFB" w:rsidRPr="006C58C7" w:rsidRDefault="00A85CFB" w:rsidP="00EF15FF">
            <w:pPr>
              <w:spacing w:after="0"/>
              <w:jc w:val="left"/>
              <w:rPr>
                <w:sz w:val="20"/>
                <w:szCs w:val="20"/>
              </w:rPr>
            </w:pPr>
            <w:r w:rsidRPr="006C58C7">
              <w:rPr>
                <w:sz w:val="20"/>
                <w:szCs w:val="20"/>
              </w:rPr>
              <w:t xml:space="preserve">2.2.1.6. Projekat izgradnje sportskog poligona zatvorenog tipa sa </w:t>
            </w:r>
            <w:r w:rsidRPr="006C58C7">
              <w:rPr>
                <w:sz w:val="20"/>
                <w:szCs w:val="20"/>
              </w:rPr>
              <w:lastRenderedPageBreak/>
              <w:t>umjetnom travom</w:t>
            </w:r>
            <w:r w:rsidRPr="006C58C7">
              <w:rPr>
                <w:b/>
                <w:sz w:val="20"/>
                <w:szCs w:val="20"/>
              </w:rPr>
              <w:t>.</w:t>
            </w:r>
          </w:p>
        </w:tc>
      </w:tr>
      <w:tr w:rsidR="00A85CFB" w:rsidRPr="00881DF1" w:rsidTr="00EF15FF">
        <w:tc>
          <w:tcPr>
            <w:tcW w:w="3690" w:type="dxa"/>
            <w:vMerge/>
            <w:shd w:val="clear" w:color="auto" w:fill="auto"/>
            <w:vAlign w:val="center"/>
          </w:tcPr>
          <w:p w:rsidR="00A85CFB" w:rsidRPr="00881DF1" w:rsidRDefault="00A85CFB" w:rsidP="00EF15FF">
            <w:pPr>
              <w:pStyle w:val="ListParagraph"/>
              <w:spacing w:after="0"/>
              <w:ind w:left="0" w:firstLine="0"/>
              <w:jc w:val="left"/>
            </w:pPr>
          </w:p>
        </w:tc>
        <w:tc>
          <w:tcPr>
            <w:tcW w:w="5552" w:type="dxa"/>
            <w:tcBorders>
              <w:top w:val="single" w:sz="4" w:space="0" w:color="auto"/>
            </w:tcBorders>
            <w:shd w:val="clear" w:color="auto" w:fill="auto"/>
            <w:vAlign w:val="center"/>
          </w:tcPr>
          <w:p w:rsidR="00A85CFB" w:rsidRPr="00C16792" w:rsidRDefault="00A85CFB" w:rsidP="00EF15FF">
            <w:pPr>
              <w:spacing w:after="0"/>
              <w:jc w:val="left"/>
              <w:rPr>
                <w:sz w:val="20"/>
              </w:rPr>
            </w:pPr>
            <w:r w:rsidRPr="00C16792">
              <w:rPr>
                <w:sz w:val="20"/>
              </w:rPr>
              <w:t>2.2.1.7. Izmještanje gradskog fudbaskog stadiona (I faza: rješavanje imovinsko-pravnih odnosa)</w:t>
            </w:r>
          </w:p>
        </w:tc>
      </w:tr>
      <w:tr w:rsidR="00F370FB" w:rsidRPr="00881DF1" w:rsidTr="00EF15FF">
        <w:tc>
          <w:tcPr>
            <w:tcW w:w="3690" w:type="dxa"/>
            <w:vMerge w:val="restart"/>
            <w:shd w:val="clear" w:color="auto" w:fill="auto"/>
            <w:vAlign w:val="center"/>
          </w:tcPr>
          <w:p w:rsidR="00F370FB" w:rsidRPr="00881DF1" w:rsidRDefault="00F370FB" w:rsidP="00EF15FF">
            <w:pPr>
              <w:pStyle w:val="ListParagraph"/>
              <w:numPr>
                <w:ilvl w:val="0"/>
                <w:numId w:val="0"/>
              </w:numPr>
              <w:spacing w:after="0"/>
              <w:jc w:val="left"/>
            </w:pPr>
            <w:r w:rsidRPr="00053E79">
              <w:rPr>
                <w:b/>
                <w:noProof/>
                <w:sz w:val="20"/>
                <w:szCs w:val="20"/>
                <w:lang w:val="bs-Latn-BA"/>
              </w:rPr>
              <w:t>2</w:t>
            </w:r>
            <w:r w:rsidRPr="00053E79">
              <w:rPr>
                <w:b/>
                <w:noProof/>
                <w:sz w:val="20"/>
                <w:szCs w:val="20"/>
                <w:lang w:val="sr-Cyrl-BA"/>
              </w:rPr>
              <w:t>.</w:t>
            </w:r>
            <w:r w:rsidRPr="00053E79">
              <w:rPr>
                <w:b/>
                <w:noProof/>
                <w:sz w:val="20"/>
                <w:szCs w:val="20"/>
                <w:lang w:val="bs-Latn-BA"/>
              </w:rPr>
              <w:t>2</w:t>
            </w:r>
            <w:r w:rsidRPr="00053E79">
              <w:rPr>
                <w:b/>
                <w:noProof/>
                <w:sz w:val="20"/>
                <w:szCs w:val="20"/>
                <w:lang w:val="sr-Cyrl-BA"/>
              </w:rPr>
              <w:t>.</w:t>
            </w:r>
            <w:r w:rsidRPr="00053E79">
              <w:rPr>
                <w:b/>
                <w:noProof/>
                <w:sz w:val="20"/>
                <w:szCs w:val="20"/>
                <w:lang w:val="bs-Latn-BA"/>
              </w:rPr>
              <w:t>2. OBRAZOVANJE</w:t>
            </w:r>
          </w:p>
        </w:tc>
        <w:tc>
          <w:tcPr>
            <w:tcW w:w="5552" w:type="dxa"/>
            <w:shd w:val="clear" w:color="auto" w:fill="auto"/>
            <w:vAlign w:val="center"/>
          </w:tcPr>
          <w:p w:rsidR="00F370FB" w:rsidRPr="00C16792" w:rsidRDefault="00F370FB" w:rsidP="00EF15FF">
            <w:pPr>
              <w:spacing w:after="0"/>
              <w:jc w:val="left"/>
              <w:rPr>
                <w:sz w:val="20"/>
              </w:rPr>
            </w:pPr>
            <w:r w:rsidRPr="00C16792">
              <w:rPr>
                <w:bCs/>
                <w:sz w:val="20"/>
              </w:rPr>
              <w:t xml:space="preserve">2.2.2.1. </w:t>
            </w:r>
            <w:r w:rsidRPr="00C16792">
              <w:rPr>
                <w:sz w:val="20"/>
              </w:rPr>
              <w:t>Projekat izgradnje novog školskog objekta sa obdaništem i sportskom dvoranom u Kalesiji (OŠ Kalesija);</w:t>
            </w:r>
          </w:p>
        </w:tc>
      </w:tr>
      <w:tr w:rsidR="00F370FB" w:rsidRPr="00881DF1" w:rsidTr="00EF15FF">
        <w:tc>
          <w:tcPr>
            <w:tcW w:w="3690" w:type="dxa"/>
            <w:vMerge/>
            <w:shd w:val="clear" w:color="auto" w:fill="auto"/>
            <w:vAlign w:val="center"/>
          </w:tcPr>
          <w:p w:rsidR="00F370FB" w:rsidRPr="00881DF1" w:rsidRDefault="00F370FB" w:rsidP="00EF15FF">
            <w:pPr>
              <w:pStyle w:val="ListParagraph"/>
              <w:spacing w:after="0"/>
              <w:ind w:left="0" w:firstLine="0"/>
              <w:jc w:val="left"/>
            </w:pPr>
          </w:p>
        </w:tc>
        <w:tc>
          <w:tcPr>
            <w:tcW w:w="5552" w:type="dxa"/>
            <w:tcBorders>
              <w:bottom w:val="single" w:sz="4" w:space="0" w:color="auto"/>
            </w:tcBorders>
            <w:shd w:val="clear" w:color="auto" w:fill="auto"/>
            <w:vAlign w:val="center"/>
          </w:tcPr>
          <w:p w:rsidR="00F370FB" w:rsidRPr="00C16792" w:rsidRDefault="00F370FB" w:rsidP="00EF15FF">
            <w:pPr>
              <w:spacing w:after="0"/>
              <w:jc w:val="left"/>
              <w:rPr>
                <w:sz w:val="20"/>
              </w:rPr>
            </w:pPr>
            <w:r w:rsidRPr="00C16792">
              <w:rPr>
                <w:sz w:val="20"/>
              </w:rPr>
              <w:t>2.2.2.2. Rekonstrukcija i sanacija krovova školskih objekata u OŠ Rainci Gornji, OŠ Tojšići, OŠ Vukovije, OŠ Memići</w:t>
            </w:r>
          </w:p>
        </w:tc>
      </w:tr>
      <w:tr w:rsidR="00F370FB" w:rsidRPr="00881DF1" w:rsidTr="00EF15FF">
        <w:tc>
          <w:tcPr>
            <w:tcW w:w="3690" w:type="dxa"/>
            <w:vMerge/>
            <w:shd w:val="clear" w:color="auto" w:fill="auto"/>
            <w:vAlign w:val="center"/>
          </w:tcPr>
          <w:p w:rsidR="00F370FB" w:rsidRPr="00881DF1" w:rsidRDefault="00F370FB" w:rsidP="00EF15FF">
            <w:pPr>
              <w:pStyle w:val="ListParagraph"/>
              <w:spacing w:after="0"/>
              <w:ind w:left="0" w:firstLine="0"/>
              <w:jc w:val="left"/>
            </w:pPr>
          </w:p>
        </w:tc>
        <w:tc>
          <w:tcPr>
            <w:tcW w:w="5552" w:type="dxa"/>
            <w:tcBorders>
              <w:top w:val="single" w:sz="4" w:space="0" w:color="auto"/>
              <w:bottom w:val="single" w:sz="4" w:space="0" w:color="auto"/>
            </w:tcBorders>
            <w:shd w:val="clear" w:color="auto" w:fill="auto"/>
            <w:vAlign w:val="center"/>
          </w:tcPr>
          <w:p w:rsidR="00F370FB" w:rsidRPr="00C16792" w:rsidRDefault="00F370FB" w:rsidP="00EF15FF">
            <w:pPr>
              <w:spacing w:after="0"/>
              <w:jc w:val="left"/>
              <w:rPr>
                <w:sz w:val="20"/>
              </w:rPr>
            </w:pPr>
            <w:r w:rsidRPr="00C16792">
              <w:rPr>
                <w:sz w:val="20"/>
              </w:rPr>
              <w:t>2.2.2.3. Izgradnja područne škole Rainci Donji (OŠ Rainci Gornji)</w:t>
            </w:r>
          </w:p>
        </w:tc>
      </w:tr>
      <w:tr w:rsidR="00F370FB" w:rsidRPr="00881DF1" w:rsidTr="00EF15FF">
        <w:tc>
          <w:tcPr>
            <w:tcW w:w="3690" w:type="dxa"/>
            <w:vMerge/>
            <w:shd w:val="clear" w:color="auto" w:fill="auto"/>
            <w:vAlign w:val="center"/>
          </w:tcPr>
          <w:p w:rsidR="00F370FB" w:rsidRPr="00881DF1" w:rsidRDefault="00F370FB" w:rsidP="00EF15FF">
            <w:pPr>
              <w:pStyle w:val="ListParagraph"/>
              <w:spacing w:after="0"/>
              <w:ind w:left="0" w:firstLine="0"/>
              <w:jc w:val="left"/>
            </w:pPr>
          </w:p>
        </w:tc>
        <w:tc>
          <w:tcPr>
            <w:tcW w:w="5552" w:type="dxa"/>
            <w:tcBorders>
              <w:top w:val="single" w:sz="4" w:space="0" w:color="auto"/>
              <w:bottom w:val="single" w:sz="4" w:space="0" w:color="auto"/>
            </w:tcBorders>
            <w:shd w:val="clear" w:color="auto" w:fill="auto"/>
            <w:vAlign w:val="center"/>
          </w:tcPr>
          <w:p w:rsidR="00F370FB" w:rsidRPr="00C16792" w:rsidRDefault="00F370FB" w:rsidP="00EF15FF">
            <w:pPr>
              <w:spacing w:after="0"/>
              <w:jc w:val="left"/>
              <w:rPr>
                <w:sz w:val="20"/>
              </w:rPr>
            </w:pPr>
            <w:r w:rsidRPr="00C16792">
              <w:rPr>
                <w:sz w:val="20"/>
              </w:rPr>
              <w:t>2.2.2.4. Utopljavanje postojećih školskih objekata</w:t>
            </w:r>
          </w:p>
        </w:tc>
      </w:tr>
      <w:tr w:rsidR="00F370FB" w:rsidRPr="00881DF1" w:rsidTr="00EF15FF">
        <w:tc>
          <w:tcPr>
            <w:tcW w:w="3690" w:type="dxa"/>
            <w:vMerge/>
            <w:shd w:val="clear" w:color="auto" w:fill="auto"/>
            <w:vAlign w:val="center"/>
          </w:tcPr>
          <w:p w:rsidR="00F370FB" w:rsidRPr="00881DF1" w:rsidRDefault="00F370FB" w:rsidP="00EF15FF">
            <w:pPr>
              <w:pStyle w:val="ListParagraph"/>
              <w:spacing w:after="0"/>
              <w:ind w:left="0" w:firstLine="0"/>
              <w:jc w:val="left"/>
            </w:pPr>
          </w:p>
        </w:tc>
        <w:tc>
          <w:tcPr>
            <w:tcW w:w="5552" w:type="dxa"/>
            <w:tcBorders>
              <w:top w:val="single" w:sz="4" w:space="0" w:color="auto"/>
              <w:bottom w:val="single" w:sz="4" w:space="0" w:color="auto"/>
            </w:tcBorders>
            <w:shd w:val="clear" w:color="auto" w:fill="auto"/>
            <w:vAlign w:val="center"/>
          </w:tcPr>
          <w:p w:rsidR="00F370FB" w:rsidRPr="00C16792" w:rsidRDefault="00F370FB" w:rsidP="00EF15FF">
            <w:pPr>
              <w:spacing w:after="0"/>
              <w:jc w:val="left"/>
              <w:rPr>
                <w:sz w:val="20"/>
              </w:rPr>
            </w:pPr>
            <w:r w:rsidRPr="00C16792">
              <w:rPr>
                <w:sz w:val="20"/>
                <w:szCs w:val="20"/>
              </w:rPr>
              <w:t>2.2.2.5. Osnivanje odjeljenja osnovne muzičke škole pri OŠ Kalesija</w:t>
            </w:r>
          </w:p>
        </w:tc>
      </w:tr>
      <w:tr w:rsidR="00331BDD" w:rsidRPr="00881DF1" w:rsidTr="00EF15FF">
        <w:tc>
          <w:tcPr>
            <w:tcW w:w="3690" w:type="dxa"/>
            <w:vMerge w:val="restart"/>
            <w:shd w:val="clear" w:color="auto" w:fill="auto"/>
            <w:vAlign w:val="center"/>
          </w:tcPr>
          <w:p w:rsidR="00331BDD" w:rsidRPr="00D83891" w:rsidRDefault="00331BDD" w:rsidP="00EF15FF">
            <w:pPr>
              <w:pStyle w:val="ListParagraph"/>
              <w:numPr>
                <w:ilvl w:val="0"/>
                <w:numId w:val="0"/>
              </w:numPr>
              <w:spacing w:after="0"/>
              <w:jc w:val="left"/>
              <w:rPr>
                <w:b/>
              </w:rPr>
            </w:pPr>
            <w:r w:rsidRPr="00053E79">
              <w:rPr>
                <w:b/>
                <w:color w:val="000000"/>
                <w:sz w:val="20"/>
                <w:szCs w:val="27"/>
              </w:rPr>
              <w:t>2.2.3. KULTURA</w:t>
            </w:r>
          </w:p>
        </w:tc>
        <w:tc>
          <w:tcPr>
            <w:tcW w:w="5552" w:type="dxa"/>
            <w:tcBorders>
              <w:top w:val="single" w:sz="4" w:space="0" w:color="auto"/>
              <w:bottom w:val="single" w:sz="4" w:space="0" w:color="auto"/>
            </w:tcBorders>
            <w:shd w:val="clear" w:color="auto" w:fill="auto"/>
            <w:vAlign w:val="center"/>
          </w:tcPr>
          <w:p w:rsidR="00331BDD" w:rsidRPr="00C16792" w:rsidRDefault="00331BDD" w:rsidP="00EF15FF">
            <w:pPr>
              <w:spacing w:after="0"/>
              <w:jc w:val="left"/>
              <w:rPr>
                <w:sz w:val="20"/>
              </w:rPr>
            </w:pPr>
            <w:r w:rsidRPr="00C16792">
              <w:rPr>
                <w:sz w:val="20"/>
                <w:lang w:val="en-US"/>
              </w:rPr>
              <w:t>2.2.3.1. Prostorno proširenje BKC-a za potrebe biblioteke</w:t>
            </w:r>
          </w:p>
        </w:tc>
      </w:tr>
      <w:tr w:rsidR="00331BDD" w:rsidRPr="00881DF1" w:rsidTr="00EF15FF">
        <w:tc>
          <w:tcPr>
            <w:tcW w:w="3690" w:type="dxa"/>
            <w:vMerge/>
            <w:shd w:val="clear" w:color="auto" w:fill="auto"/>
            <w:vAlign w:val="center"/>
          </w:tcPr>
          <w:p w:rsidR="00331BDD" w:rsidRPr="00D83891" w:rsidRDefault="00331BDD" w:rsidP="00EF15FF">
            <w:pPr>
              <w:pStyle w:val="ListParagraph"/>
              <w:numPr>
                <w:ilvl w:val="0"/>
                <w:numId w:val="0"/>
              </w:numPr>
              <w:spacing w:after="0"/>
              <w:jc w:val="left"/>
              <w:rPr>
                <w:b/>
                <w:color w:val="000000"/>
                <w:sz w:val="27"/>
                <w:szCs w:val="27"/>
              </w:rPr>
            </w:pPr>
          </w:p>
        </w:tc>
        <w:tc>
          <w:tcPr>
            <w:tcW w:w="5552" w:type="dxa"/>
            <w:tcBorders>
              <w:top w:val="single" w:sz="4" w:space="0" w:color="auto"/>
              <w:bottom w:val="single" w:sz="4" w:space="0" w:color="auto"/>
            </w:tcBorders>
            <w:shd w:val="clear" w:color="auto" w:fill="auto"/>
            <w:vAlign w:val="center"/>
          </w:tcPr>
          <w:p w:rsidR="00331BDD" w:rsidRPr="00C16792" w:rsidRDefault="00331BDD" w:rsidP="00C357F2">
            <w:pPr>
              <w:spacing w:after="0"/>
              <w:jc w:val="left"/>
              <w:rPr>
                <w:sz w:val="20"/>
                <w:lang w:val="en-US"/>
              </w:rPr>
            </w:pPr>
            <w:r w:rsidRPr="00C16792">
              <w:rPr>
                <w:sz w:val="20"/>
              </w:rPr>
              <w:t>2.2.3.</w:t>
            </w:r>
            <w:r w:rsidR="00C357F2">
              <w:rPr>
                <w:sz w:val="20"/>
              </w:rPr>
              <w:t>2</w:t>
            </w:r>
            <w:r w:rsidRPr="00C16792">
              <w:rPr>
                <w:sz w:val="20"/>
              </w:rPr>
              <w:t>. Mobilna biblioteka</w:t>
            </w:r>
          </w:p>
        </w:tc>
      </w:tr>
      <w:tr w:rsidR="00331BDD" w:rsidRPr="00881DF1" w:rsidTr="00EF15FF">
        <w:tc>
          <w:tcPr>
            <w:tcW w:w="3690" w:type="dxa"/>
            <w:vMerge/>
            <w:shd w:val="clear" w:color="auto" w:fill="auto"/>
            <w:vAlign w:val="center"/>
          </w:tcPr>
          <w:p w:rsidR="00331BDD" w:rsidRPr="00D83891" w:rsidRDefault="00331BDD" w:rsidP="00EF15FF">
            <w:pPr>
              <w:pStyle w:val="ListParagraph"/>
              <w:numPr>
                <w:ilvl w:val="0"/>
                <w:numId w:val="0"/>
              </w:numPr>
              <w:spacing w:after="0"/>
              <w:jc w:val="left"/>
              <w:rPr>
                <w:b/>
                <w:color w:val="000000"/>
                <w:sz w:val="27"/>
                <w:szCs w:val="27"/>
              </w:rPr>
            </w:pPr>
          </w:p>
        </w:tc>
        <w:tc>
          <w:tcPr>
            <w:tcW w:w="5552" w:type="dxa"/>
            <w:tcBorders>
              <w:top w:val="single" w:sz="4" w:space="0" w:color="auto"/>
              <w:bottom w:val="single" w:sz="4" w:space="0" w:color="auto"/>
            </w:tcBorders>
            <w:shd w:val="clear" w:color="auto" w:fill="auto"/>
            <w:vAlign w:val="center"/>
          </w:tcPr>
          <w:p w:rsidR="00331BDD" w:rsidRPr="00C16792" w:rsidRDefault="00331BDD" w:rsidP="00C357F2">
            <w:pPr>
              <w:spacing w:after="0"/>
              <w:jc w:val="left"/>
              <w:rPr>
                <w:sz w:val="20"/>
                <w:lang w:val="en-US"/>
              </w:rPr>
            </w:pPr>
            <w:r w:rsidRPr="00C16792">
              <w:rPr>
                <w:sz w:val="20"/>
              </w:rPr>
              <w:t>2.2.3.</w:t>
            </w:r>
            <w:r w:rsidR="00C357F2">
              <w:rPr>
                <w:sz w:val="20"/>
              </w:rPr>
              <w:t>3</w:t>
            </w:r>
            <w:r w:rsidRPr="00C16792">
              <w:rPr>
                <w:sz w:val="20"/>
              </w:rPr>
              <w:t>. Međunarodna smotra folklora</w:t>
            </w:r>
          </w:p>
        </w:tc>
      </w:tr>
      <w:tr w:rsidR="00331BDD" w:rsidRPr="00881DF1" w:rsidTr="00EF15FF">
        <w:tc>
          <w:tcPr>
            <w:tcW w:w="3690" w:type="dxa"/>
            <w:vMerge/>
            <w:shd w:val="clear" w:color="auto" w:fill="auto"/>
            <w:vAlign w:val="center"/>
          </w:tcPr>
          <w:p w:rsidR="00331BDD" w:rsidRPr="00D83891" w:rsidRDefault="00331BDD" w:rsidP="00EF15FF">
            <w:pPr>
              <w:pStyle w:val="ListParagraph"/>
              <w:numPr>
                <w:ilvl w:val="0"/>
                <w:numId w:val="0"/>
              </w:numPr>
              <w:spacing w:after="0"/>
              <w:jc w:val="left"/>
              <w:rPr>
                <w:b/>
                <w:color w:val="000000"/>
                <w:sz w:val="27"/>
                <w:szCs w:val="27"/>
              </w:rPr>
            </w:pPr>
          </w:p>
        </w:tc>
        <w:tc>
          <w:tcPr>
            <w:tcW w:w="5552" w:type="dxa"/>
            <w:tcBorders>
              <w:top w:val="single" w:sz="4" w:space="0" w:color="auto"/>
              <w:bottom w:val="single" w:sz="4" w:space="0" w:color="auto"/>
            </w:tcBorders>
            <w:shd w:val="clear" w:color="auto" w:fill="auto"/>
            <w:vAlign w:val="center"/>
          </w:tcPr>
          <w:p w:rsidR="00331BDD" w:rsidRPr="004615A2" w:rsidRDefault="00331BDD" w:rsidP="00C357F2">
            <w:pPr>
              <w:spacing w:after="0"/>
              <w:jc w:val="left"/>
              <w:rPr>
                <w:sz w:val="20"/>
                <w:lang w:val="en-US"/>
              </w:rPr>
            </w:pPr>
            <w:r w:rsidRPr="00C16792">
              <w:rPr>
                <w:sz w:val="20"/>
                <w:lang w:val="en-US"/>
              </w:rPr>
              <w:t>2.2.3.</w:t>
            </w:r>
            <w:r w:rsidR="00C357F2">
              <w:rPr>
                <w:sz w:val="20"/>
                <w:lang w:val="en-US"/>
              </w:rPr>
              <w:t>4</w:t>
            </w:r>
            <w:r w:rsidRPr="00C16792">
              <w:rPr>
                <w:sz w:val="20"/>
                <w:lang w:val="en-US"/>
              </w:rPr>
              <w:t>. Projekat održavanja kulturno- sportskih manifestacija po mjesnim zajednicama</w:t>
            </w:r>
          </w:p>
        </w:tc>
      </w:tr>
      <w:tr w:rsidR="00331BDD" w:rsidRPr="00881DF1" w:rsidTr="00EF15FF">
        <w:tc>
          <w:tcPr>
            <w:tcW w:w="3690" w:type="dxa"/>
            <w:vMerge/>
            <w:shd w:val="clear" w:color="auto" w:fill="auto"/>
            <w:vAlign w:val="center"/>
          </w:tcPr>
          <w:p w:rsidR="00331BDD" w:rsidRPr="00D83891" w:rsidRDefault="00331BDD" w:rsidP="00EF15FF">
            <w:pPr>
              <w:pStyle w:val="ListParagraph"/>
              <w:numPr>
                <w:ilvl w:val="0"/>
                <w:numId w:val="0"/>
              </w:numPr>
              <w:spacing w:after="0"/>
              <w:jc w:val="left"/>
              <w:rPr>
                <w:b/>
                <w:color w:val="000000"/>
                <w:sz w:val="27"/>
                <w:szCs w:val="27"/>
              </w:rPr>
            </w:pPr>
          </w:p>
        </w:tc>
        <w:tc>
          <w:tcPr>
            <w:tcW w:w="5552" w:type="dxa"/>
            <w:tcBorders>
              <w:top w:val="single" w:sz="4" w:space="0" w:color="auto"/>
              <w:bottom w:val="single" w:sz="4" w:space="0" w:color="auto"/>
            </w:tcBorders>
            <w:shd w:val="clear" w:color="auto" w:fill="auto"/>
            <w:vAlign w:val="center"/>
          </w:tcPr>
          <w:p w:rsidR="00331BDD" w:rsidRPr="00C16792" w:rsidRDefault="00331BDD" w:rsidP="00C357F2">
            <w:pPr>
              <w:spacing w:after="0"/>
              <w:jc w:val="left"/>
              <w:rPr>
                <w:sz w:val="20"/>
                <w:lang w:val="en-US"/>
              </w:rPr>
            </w:pPr>
            <w:r w:rsidRPr="00C16792">
              <w:rPr>
                <w:sz w:val="20"/>
              </w:rPr>
              <w:t>2.2.3.</w:t>
            </w:r>
            <w:r w:rsidR="00C357F2">
              <w:rPr>
                <w:sz w:val="20"/>
              </w:rPr>
              <w:t>5</w:t>
            </w:r>
            <w:r w:rsidRPr="00C16792">
              <w:rPr>
                <w:sz w:val="20"/>
              </w:rPr>
              <w:t>. Kulturna manifestacija Ikre</w:t>
            </w:r>
          </w:p>
        </w:tc>
      </w:tr>
      <w:tr w:rsidR="00331BDD" w:rsidRPr="00881DF1" w:rsidTr="00EF15FF">
        <w:tc>
          <w:tcPr>
            <w:tcW w:w="3690" w:type="dxa"/>
            <w:vMerge/>
            <w:shd w:val="clear" w:color="auto" w:fill="auto"/>
            <w:vAlign w:val="center"/>
          </w:tcPr>
          <w:p w:rsidR="00331BDD" w:rsidRPr="00D83891" w:rsidRDefault="00331BDD" w:rsidP="00EF15FF">
            <w:pPr>
              <w:pStyle w:val="ListParagraph"/>
              <w:numPr>
                <w:ilvl w:val="0"/>
                <w:numId w:val="0"/>
              </w:numPr>
              <w:spacing w:after="0"/>
              <w:jc w:val="left"/>
              <w:rPr>
                <w:b/>
                <w:color w:val="000000"/>
                <w:sz w:val="27"/>
                <w:szCs w:val="27"/>
              </w:rPr>
            </w:pPr>
          </w:p>
        </w:tc>
        <w:tc>
          <w:tcPr>
            <w:tcW w:w="5552" w:type="dxa"/>
            <w:tcBorders>
              <w:top w:val="single" w:sz="4" w:space="0" w:color="auto"/>
              <w:bottom w:val="single" w:sz="4" w:space="0" w:color="auto"/>
            </w:tcBorders>
            <w:shd w:val="clear" w:color="auto" w:fill="auto"/>
            <w:vAlign w:val="center"/>
          </w:tcPr>
          <w:p w:rsidR="00331BDD" w:rsidRPr="00C16792" w:rsidRDefault="00331BDD" w:rsidP="00C357F2">
            <w:pPr>
              <w:spacing w:after="0"/>
              <w:jc w:val="left"/>
              <w:rPr>
                <w:sz w:val="20"/>
                <w:lang w:val="en-US"/>
              </w:rPr>
            </w:pPr>
            <w:r w:rsidRPr="00C16792">
              <w:rPr>
                <w:sz w:val="20"/>
              </w:rPr>
              <w:t>2.2.3.</w:t>
            </w:r>
            <w:r w:rsidR="00C357F2">
              <w:rPr>
                <w:sz w:val="20"/>
              </w:rPr>
              <w:t>6</w:t>
            </w:r>
            <w:r w:rsidRPr="00C16792">
              <w:rPr>
                <w:sz w:val="20"/>
              </w:rPr>
              <w:t>. Pozorišni festival</w:t>
            </w:r>
          </w:p>
        </w:tc>
      </w:tr>
      <w:tr w:rsidR="00331BDD" w:rsidRPr="00881DF1" w:rsidTr="00EF15FF">
        <w:tc>
          <w:tcPr>
            <w:tcW w:w="3690" w:type="dxa"/>
            <w:vMerge/>
            <w:shd w:val="clear" w:color="auto" w:fill="auto"/>
            <w:vAlign w:val="center"/>
          </w:tcPr>
          <w:p w:rsidR="00331BDD" w:rsidRPr="00D83891" w:rsidRDefault="00331BDD" w:rsidP="00EF15FF">
            <w:pPr>
              <w:pStyle w:val="ListParagraph"/>
              <w:numPr>
                <w:ilvl w:val="0"/>
                <w:numId w:val="0"/>
              </w:numPr>
              <w:spacing w:after="0"/>
              <w:jc w:val="left"/>
              <w:rPr>
                <w:b/>
                <w:color w:val="000000"/>
                <w:sz w:val="27"/>
                <w:szCs w:val="27"/>
              </w:rPr>
            </w:pPr>
          </w:p>
        </w:tc>
        <w:tc>
          <w:tcPr>
            <w:tcW w:w="5552" w:type="dxa"/>
            <w:tcBorders>
              <w:top w:val="single" w:sz="4" w:space="0" w:color="auto"/>
              <w:bottom w:val="single" w:sz="4" w:space="0" w:color="auto"/>
            </w:tcBorders>
            <w:shd w:val="clear" w:color="auto" w:fill="auto"/>
            <w:vAlign w:val="center"/>
          </w:tcPr>
          <w:p w:rsidR="00331BDD" w:rsidRPr="00C16792" w:rsidRDefault="00331BDD" w:rsidP="00C357F2">
            <w:pPr>
              <w:spacing w:after="0"/>
              <w:jc w:val="left"/>
              <w:rPr>
                <w:sz w:val="20"/>
              </w:rPr>
            </w:pPr>
            <w:r w:rsidRPr="00C16792">
              <w:rPr>
                <w:sz w:val="20"/>
                <w:lang w:val="en-US"/>
              </w:rPr>
              <w:t>2.2.3.</w:t>
            </w:r>
            <w:r w:rsidR="00C357F2">
              <w:rPr>
                <w:sz w:val="20"/>
                <w:lang w:val="en-US"/>
              </w:rPr>
              <w:t>7</w:t>
            </w:r>
            <w:r w:rsidRPr="00C16792">
              <w:rPr>
                <w:sz w:val="20"/>
                <w:lang w:val="en-US"/>
              </w:rPr>
              <w:t>. Tradicionalni festivali: Kalesijsko i Tojšićko ljeto</w:t>
            </w:r>
          </w:p>
        </w:tc>
      </w:tr>
      <w:tr w:rsidR="00331BDD" w:rsidRPr="00881DF1" w:rsidTr="00EF15FF">
        <w:tc>
          <w:tcPr>
            <w:tcW w:w="3690" w:type="dxa"/>
            <w:vMerge/>
            <w:shd w:val="clear" w:color="auto" w:fill="auto"/>
            <w:vAlign w:val="center"/>
          </w:tcPr>
          <w:p w:rsidR="00331BDD" w:rsidRPr="00D83891" w:rsidRDefault="00331BDD" w:rsidP="00EF15FF">
            <w:pPr>
              <w:pStyle w:val="ListParagraph"/>
              <w:numPr>
                <w:ilvl w:val="0"/>
                <w:numId w:val="0"/>
              </w:numPr>
              <w:spacing w:after="0"/>
              <w:jc w:val="left"/>
              <w:rPr>
                <w:b/>
                <w:color w:val="000000"/>
                <w:sz w:val="27"/>
                <w:szCs w:val="27"/>
              </w:rPr>
            </w:pPr>
          </w:p>
        </w:tc>
        <w:tc>
          <w:tcPr>
            <w:tcW w:w="5552" w:type="dxa"/>
            <w:tcBorders>
              <w:top w:val="single" w:sz="4" w:space="0" w:color="auto"/>
              <w:bottom w:val="single" w:sz="4" w:space="0" w:color="auto"/>
            </w:tcBorders>
            <w:shd w:val="clear" w:color="auto" w:fill="auto"/>
            <w:vAlign w:val="center"/>
          </w:tcPr>
          <w:p w:rsidR="00331BDD" w:rsidRPr="00C16792" w:rsidRDefault="00331BDD" w:rsidP="00C357F2">
            <w:pPr>
              <w:spacing w:after="0"/>
              <w:jc w:val="left"/>
              <w:rPr>
                <w:sz w:val="20"/>
                <w:lang w:val="en-US"/>
              </w:rPr>
            </w:pPr>
            <w:r w:rsidRPr="00C16792">
              <w:rPr>
                <w:sz w:val="20"/>
              </w:rPr>
              <w:t>2.2.3.</w:t>
            </w:r>
            <w:r w:rsidR="00C357F2">
              <w:rPr>
                <w:sz w:val="20"/>
              </w:rPr>
              <w:t>8</w:t>
            </w:r>
            <w:r w:rsidRPr="00C16792">
              <w:rPr>
                <w:sz w:val="20"/>
              </w:rPr>
              <w:t>. Festival izvorne muzike</w:t>
            </w:r>
          </w:p>
        </w:tc>
      </w:tr>
      <w:tr w:rsidR="00331BDD" w:rsidRPr="00881DF1" w:rsidTr="00EF15FF">
        <w:tc>
          <w:tcPr>
            <w:tcW w:w="3690" w:type="dxa"/>
            <w:vMerge/>
            <w:shd w:val="clear" w:color="auto" w:fill="auto"/>
            <w:vAlign w:val="center"/>
          </w:tcPr>
          <w:p w:rsidR="00331BDD" w:rsidRPr="00D83891" w:rsidRDefault="00331BDD" w:rsidP="00EF15FF">
            <w:pPr>
              <w:pStyle w:val="ListParagraph"/>
              <w:numPr>
                <w:ilvl w:val="0"/>
                <w:numId w:val="0"/>
              </w:numPr>
              <w:spacing w:after="0"/>
              <w:jc w:val="left"/>
              <w:rPr>
                <w:b/>
                <w:color w:val="000000"/>
                <w:sz w:val="27"/>
                <w:szCs w:val="27"/>
              </w:rPr>
            </w:pPr>
          </w:p>
        </w:tc>
        <w:tc>
          <w:tcPr>
            <w:tcW w:w="5552" w:type="dxa"/>
            <w:tcBorders>
              <w:top w:val="single" w:sz="4" w:space="0" w:color="auto"/>
              <w:bottom w:val="single" w:sz="4" w:space="0" w:color="auto"/>
            </w:tcBorders>
            <w:shd w:val="clear" w:color="auto" w:fill="auto"/>
            <w:vAlign w:val="center"/>
          </w:tcPr>
          <w:p w:rsidR="00331BDD" w:rsidRPr="004615A2" w:rsidRDefault="00C357F2" w:rsidP="00EF15FF">
            <w:pPr>
              <w:spacing w:after="0"/>
              <w:jc w:val="left"/>
              <w:rPr>
                <w:sz w:val="20"/>
                <w:lang w:val="en-US"/>
              </w:rPr>
            </w:pPr>
            <w:r>
              <w:rPr>
                <w:sz w:val="20"/>
                <w:lang w:val="en-US"/>
              </w:rPr>
              <w:t>2.2.3.9</w:t>
            </w:r>
            <w:r w:rsidR="00331BDD" w:rsidRPr="00C16792">
              <w:rPr>
                <w:sz w:val="20"/>
                <w:lang w:val="en-US"/>
              </w:rPr>
              <w:t>. Projekat osnivanja zavičajnog</w:t>
            </w:r>
            <w:r w:rsidR="00EF15FF">
              <w:rPr>
                <w:sz w:val="20"/>
                <w:lang w:val="en-US"/>
              </w:rPr>
              <w:t xml:space="preserve"> </w:t>
            </w:r>
            <w:r w:rsidR="004615A2">
              <w:rPr>
                <w:sz w:val="20"/>
                <w:lang w:val="en-US"/>
              </w:rPr>
              <w:t>muzeja</w:t>
            </w:r>
          </w:p>
        </w:tc>
      </w:tr>
      <w:tr w:rsidR="00331BDD" w:rsidRPr="00881DF1" w:rsidTr="00EF15FF">
        <w:tc>
          <w:tcPr>
            <w:tcW w:w="3690" w:type="dxa"/>
            <w:vMerge w:val="restart"/>
            <w:shd w:val="clear" w:color="auto" w:fill="auto"/>
            <w:vAlign w:val="center"/>
          </w:tcPr>
          <w:p w:rsidR="00331BDD" w:rsidRPr="00053E79" w:rsidRDefault="00331BDD" w:rsidP="00EF15FF">
            <w:pPr>
              <w:pStyle w:val="ListParagraph"/>
              <w:numPr>
                <w:ilvl w:val="0"/>
                <w:numId w:val="0"/>
              </w:numPr>
              <w:spacing w:after="0"/>
              <w:jc w:val="left"/>
              <w:rPr>
                <w:b/>
                <w:color w:val="000000"/>
                <w:sz w:val="20"/>
                <w:szCs w:val="27"/>
              </w:rPr>
            </w:pPr>
            <w:r w:rsidRPr="00053E79">
              <w:rPr>
                <w:b/>
                <w:color w:val="000000"/>
                <w:sz w:val="20"/>
                <w:szCs w:val="27"/>
              </w:rPr>
              <w:t>2.3.1. ZDRAVSTVENA ZAŠTITA</w:t>
            </w:r>
          </w:p>
        </w:tc>
        <w:tc>
          <w:tcPr>
            <w:tcW w:w="5552" w:type="dxa"/>
            <w:tcBorders>
              <w:top w:val="single" w:sz="4" w:space="0" w:color="auto"/>
              <w:bottom w:val="single" w:sz="4" w:space="0" w:color="auto"/>
            </w:tcBorders>
            <w:shd w:val="clear" w:color="auto" w:fill="auto"/>
            <w:vAlign w:val="center"/>
          </w:tcPr>
          <w:p w:rsidR="00331BDD" w:rsidRPr="00C16792" w:rsidRDefault="00331BDD" w:rsidP="00EF15FF">
            <w:pPr>
              <w:spacing w:after="0"/>
              <w:jc w:val="left"/>
              <w:rPr>
                <w:sz w:val="20"/>
                <w:lang w:val="en-US"/>
              </w:rPr>
            </w:pPr>
            <w:r w:rsidRPr="00C16792">
              <w:rPr>
                <w:sz w:val="20"/>
                <w:lang w:val="en-US"/>
              </w:rPr>
              <w:t>2.3.1.1. Projekat izgradnje ambulante u Tojšićima</w:t>
            </w:r>
          </w:p>
        </w:tc>
      </w:tr>
      <w:tr w:rsidR="00331BDD" w:rsidRPr="00881DF1" w:rsidTr="00EF15FF">
        <w:tc>
          <w:tcPr>
            <w:tcW w:w="3690" w:type="dxa"/>
            <w:vMerge/>
            <w:shd w:val="clear" w:color="auto" w:fill="auto"/>
            <w:vAlign w:val="center"/>
          </w:tcPr>
          <w:p w:rsidR="00331BDD" w:rsidRPr="00331BDD" w:rsidRDefault="00331BDD" w:rsidP="00EF15FF">
            <w:pPr>
              <w:pStyle w:val="ListParagraph"/>
              <w:numPr>
                <w:ilvl w:val="0"/>
                <w:numId w:val="0"/>
              </w:numPr>
              <w:spacing w:after="0"/>
              <w:jc w:val="left"/>
              <w:rPr>
                <w:b/>
                <w:color w:val="000000"/>
                <w:szCs w:val="27"/>
              </w:rPr>
            </w:pPr>
          </w:p>
        </w:tc>
        <w:tc>
          <w:tcPr>
            <w:tcW w:w="5552" w:type="dxa"/>
            <w:tcBorders>
              <w:top w:val="single" w:sz="4" w:space="0" w:color="auto"/>
              <w:bottom w:val="single" w:sz="4" w:space="0" w:color="auto"/>
            </w:tcBorders>
            <w:shd w:val="clear" w:color="auto" w:fill="auto"/>
            <w:vAlign w:val="center"/>
          </w:tcPr>
          <w:p w:rsidR="00331BDD" w:rsidRPr="00C16792" w:rsidRDefault="00331BDD" w:rsidP="00EF15FF">
            <w:pPr>
              <w:spacing w:after="0"/>
              <w:jc w:val="left"/>
              <w:rPr>
                <w:sz w:val="20"/>
                <w:lang w:val="en-US"/>
              </w:rPr>
            </w:pPr>
            <w:r w:rsidRPr="00C16792">
              <w:rPr>
                <w:sz w:val="20"/>
                <w:lang w:val="en-US"/>
              </w:rPr>
              <w:t>2.3.1.2. Projekat izgradnje   ambulante u MZ Vukovije Donje</w:t>
            </w:r>
          </w:p>
        </w:tc>
      </w:tr>
      <w:tr w:rsidR="00331BDD" w:rsidRPr="00881DF1" w:rsidTr="00EF15FF">
        <w:tc>
          <w:tcPr>
            <w:tcW w:w="3690" w:type="dxa"/>
            <w:vMerge w:val="restart"/>
            <w:shd w:val="clear" w:color="auto" w:fill="auto"/>
            <w:vAlign w:val="center"/>
          </w:tcPr>
          <w:p w:rsidR="00331BDD" w:rsidRPr="00053E79" w:rsidRDefault="00331BDD" w:rsidP="00EF15FF">
            <w:pPr>
              <w:pStyle w:val="ListParagraph"/>
              <w:numPr>
                <w:ilvl w:val="0"/>
                <w:numId w:val="0"/>
              </w:numPr>
              <w:spacing w:after="0"/>
              <w:jc w:val="left"/>
              <w:rPr>
                <w:b/>
                <w:color w:val="000000"/>
                <w:sz w:val="20"/>
                <w:szCs w:val="27"/>
              </w:rPr>
            </w:pPr>
            <w:r w:rsidRPr="00053E79">
              <w:rPr>
                <w:b/>
                <w:color w:val="000000"/>
                <w:sz w:val="20"/>
                <w:szCs w:val="27"/>
              </w:rPr>
              <w:t>2.3.2. SOCIJALNA ZAŠTITA</w:t>
            </w:r>
          </w:p>
        </w:tc>
        <w:tc>
          <w:tcPr>
            <w:tcW w:w="5552" w:type="dxa"/>
            <w:tcBorders>
              <w:top w:val="single" w:sz="4" w:space="0" w:color="auto"/>
              <w:bottom w:val="single" w:sz="4" w:space="0" w:color="auto"/>
            </w:tcBorders>
            <w:shd w:val="clear" w:color="auto" w:fill="auto"/>
            <w:vAlign w:val="center"/>
          </w:tcPr>
          <w:p w:rsidR="00331BDD" w:rsidRPr="00C16792" w:rsidRDefault="00331BDD" w:rsidP="00EF15FF">
            <w:pPr>
              <w:spacing w:after="0"/>
              <w:jc w:val="left"/>
              <w:rPr>
                <w:sz w:val="20"/>
                <w:lang w:val="en-US"/>
              </w:rPr>
            </w:pPr>
            <w:r w:rsidRPr="00C16792">
              <w:rPr>
                <w:sz w:val="20"/>
                <w:lang w:val="en-US"/>
              </w:rPr>
              <w:t>2.3.2.1. Izgradnja objekata za socijalno stanovanje</w:t>
            </w:r>
          </w:p>
        </w:tc>
      </w:tr>
      <w:tr w:rsidR="00331BDD" w:rsidRPr="00881DF1" w:rsidTr="00EF15FF">
        <w:tc>
          <w:tcPr>
            <w:tcW w:w="3690" w:type="dxa"/>
            <w:vMerge/>
            <w:shd w:val="clear" w:color="auto" w:fill="auto"/>
            <w:vAlign w:val="center"/>
          </w:tcPr>
          <w:p w:rsidR="00331BDD" w:rsidRPr="00331BDD" w:rsidRDefault="00331BDD" w:rsidP="00EF15FF">
            <w:pPr>
              <w:pStyle w:val="ListParagraph"/>
              <w:numPr>
                <w:ilvl w:val="0"/>
                <w:numId w:val="0"/>
              </w:numPr>
              <w:spacing w:after="0"/>
              <w:jc w:val="left"/>
              <w:rPr>
                <w:b/>
                <w:color w:val="000000"/>
                <w:sz w:val="27"/>
                <w:szCs w:val="27"/>
              </w:rPr>
            </w:pPr>
          </w:p>
        </w:tc>
        <w:tc>
          <w:tcPr>
            <w:tcW w:w="5552" w:type="dxa"/>
            <w:tcBorders>
              <w:top w:val="single" w:sz="4" w:space="0" w:color="auto"/>
              <w:bottom w:val="single" w:sz="4" w:space="0" w:color="auto"/>
            </w:tcBorders>
            <w:shd w:val="clear" w:color="auto" w:fill="auto"/>
            <w:vAlign w:val="center"/>
          </w:tcPr>
          <w:p w:rsidR="00331BDD" w:rsidRPr="00C16792" w:rsidRDefault="00331BDD" w:rsidP="00EF15FF">
            <w:pPr>
              <w:spacing w:after="0"/>
              <w:jc w:val="left"/>
              <w:rPr>
                <w:sz w:val="20"/>
                <w:lang w:val="en-US"/>
              </w:rPr>
            </w:pPr>
            <w:r w:rsidRPr="00C16792">
              <w:rPr>
                <w:sz w:val="20"/>
                <w:lang w:val="en-US"/>
              </w:rPr>
              <w:t>2.3.2.2. Projekat evidencije Romske populacije i njihovih potreba</w:t>
            </w:r>
          </w:p>
        </w:tc>
      </w:tr>
      <w:tr w:rsidR="005B18CF" w:rsidRPr="00881DF1" w:rsidTr="00EF15FF">
        <w:tc>
          <w:tcPr>
            <w:tcW w:w="3690" w:type="dxa"/>
            <w:vMerge/>
            <w:shd w:val="clear" w:color="auto" w:fill="auto"/>
            <w:vAlign w:val="center"/>
          </w:tcPr>
          <w:p w:rsidR="005B18CF" w:rsidRPr="00331BDD" w:rsidRDefault="005B18CF" w:rsidP="00EF15FF">
            <w:pPr>
              <w:pStyle w:val="ListParagraph"/>
              <w:numPr>
                <w:ilvl w:val="0"/>
                <w:numId w:val="0"/>
              </w:numPr>
              <w:spacing w:after="0"/>
              <w:jc w:val="left"/>
              <w:rPr>
                <w:b/>
                <w:color w:val="000000"/>
                <w:sz w:val="27"/>
                <w:szCs w:val="27"/>
              </w:rPr>
            </w:pPr>
          </w:p>
        </w:tc>
        <w:tc>
          <w:tcPr>
            <w:tcW w:w="5552" w:type="dxa"/>
            <w:tcBorders>
              <w:top w:val="single" w:sz="4" w:space="0" w:color="auto"/>
              <w:bottom w:val="single" w:sz="4" w:space="0" w:color="auto"/>
            </w:tcBorders>
            <w:shd w:val="clear" w:color="auto" w:fill="auto"/>
            <w:vAlign w:val="center"/>
          </w:tcPr>
          <w:p w:rsidR="005B18CF" w:rsidRPr="00C16792" w:rsidRDefault="005B18CF" w:rsidP="00EF15FF">
            <w:pPr>
              <w:spacing w:after="0"/>
              <w:jc w:val="left"/>
              <w:rPr>
                <w:sz w:val="20"/>
                <w:lang w:val="en-US"/>
              </w:rPr>
            </w:pPr>
            <w:r w:rsidRPr="00C16792">
              <w:rPr>
                <w:sz w:val="20"/>
                <w:lang w:val="en-US"/>
              </w:rPr>
              <w:t>2.3.2.3. Projekat jednokratne novčane pomoći u novcu i naturalnim davanjim</w:t>
            </w:r>
          </w:p>
        </w:tc>
      </w:tr>
      <w:tr w:rsidR="005B18CF" w:rsidRPr="00881DF1" w:rsidTr="00EF15FF">
        <w:tc>
          <w:tcPr>
            <w:tcW w:w="3690" w:type="dxa"/>
            <w:vMerge/>
            <w:shd w:val="clear" w:color="auto" w:fill="auto"/>
            <w:vAlign w:val="center"/>
          </w:tcPr>
          <w:p w:rsidR="005B18CF" w:rsidRPr="00331BDD" w:rsidRDefault="005B18CF" w:rsidP="00EF15FF">
            <w:pPr>
              <w:pStyle w:val="ListParagraph"/>
              <w:numPr>
                <w:ilvl w:val="0"/>
                <w:numId w:val="0"/>
              </w:numPr>
              <w:spacing w:after="0"/>
              <w:jc w:val="left"/>
              <w:rPr>
                <w:b/>
                <w:color w:val="000000"/>
                <w:sz w:val="27"/>
                <w:szCs w:val="27"/>
              </w:rPr>
            </w:pPr>
          </w:p>
        </w:tc>
        <w:tc>
          <w:tcPr>
            <w:tcW w:w="5552" w:type="dxa"/>
            <w:tcBorders>
              <w:top w:val="single" w:sz="4" w:space="0" w:color="auto"/>
              <w:bottom w:val="single" w:sz="4" w:space="0" w:color="auto"/>
            </w:tcBorders>
            <w:shd w:val="clear" w:color="auto" w:fill="auto"/>
            <w:vAlign w:val="center"/>
          </w:tcPr>
          <w:p w:rsidR="005B18CF" w:rsidRPr="00C16792" w:rsidRDefault="005B18CF" w:rsidP="00EF15FF">
            <w:pPr>
              <w:spacing w:after="0"/>
              <w:jc w:val="left"/>
              <w:rPr>
                <w:sz w:val="20"/>
                <w:szCs w:val="20"/>
                <w:lang w:val="en-US"/>
              </w:rPr>
            </w:pPr>
            <w:r w:rsidRPr="00C16792">
              <w:rPr>
                <w:sz w:val="20"/>
                <w:szCs w:val="20"/>
                <w:lang w:val="en-US"/>
              </w:rPr>
              <w:t>2.3.2.4. Izrada projekta socijalne karte za općinu Kalesija</w:t>
            </w:r>
          </w:p>
        </w:tc>
      </w:tr>
      <w:tr w:rsidR="005B18CF" w:rsidRPr="00881DF1" w:rsidTr="00EF15FF">
        <w:tc>
          <w:tcPr>
            <w:tcW w:w="3690" w:type="dxa"/>
            <w:vMerge/>
            <w:shd w:val="clear" w:color="auto" w:fill="auto"/>
            <w:vAlign w:val="center"/>
          </w:tcPr>
          <w:p w:rsidR="005B18CF" w:rsidRPr="00331BDD" w:rsidRDefault="005B18CF" w:rsidP="00EF15FF">
            <w:pPr>
              <w:pStyle w:val="ListParagraph"/>
              <w:numPr>
                <w:ilvl w:val="0"/>
                <w:numId w:val="0"/>
              </w:numPr>
              <w:spacing w:after="0"/>
              <w:jc w:val="left"/>
              <w:rPr>
                <w:b/>
                <w:color w:val="000000"/>
                <w:sz w:val="27"/>
                <w:szCs w:val="27"/>
              </w:rPr>
            </w:pPr>
          </w:p>
        </w:tc>
        <w:tc>
          <w:tcPr>
            <w:tcW w:w="5552" w:type="dxa"/>
            <w:tcBorders>
              <w:top w:val="single" w:sz="4" w:space="0" w:color="auto"/>
              <w:bottom w:val="single" w:sz="4" w:space="0" w:color="auto"/>
            </w:tcBorders>
            <w:shd w:val="clear" w:color="auto" w:fill="auto"/>
            <w:vAlign w:val="center"/>
          </w:tcPr>
          <w:p w:rsidR="005B18CF" w:rsidRPr="004615A2" w:rsidRDefault="005B18CF" w:rsidP="00EF15FF">
            <w:pPr>
              <w:spacing w:after="0"/>
              <w:jc w:val="left"/>
              <w:rPr>
                <w:sz w:val="20"/>
                <w:lang w:val="en-US"/>
              </w:rPr>
            </w:pPr>
            <w:r w:rsidRPr="00C16792">
              <w:rPr>
                <w:sz w:val="20"/>
                <w:lang w:val="en-US"/>
              </w:rPr>
              <w:t>2.3.2.5. Projekat dnevne brige za stara lica bez porodičnog staranja</w:t>
            </w:r>
          </w:p>
        </w:tc>
      </w:tr>
      <w:tr w:rsidR="00331BDD" w:rsidRPr="00881DF1" w:rsidTr="00EF15FF">
        <w:tc>
          <w:tcPr>
            <w:tcW w:w="3690" w:type="dxa"/>
            <w:vMerge/>
            <w:shd w:val="clear" w:color="auto" w:fill="auto"/>
            <w:vAlign w:val="center"/>
          </w:tcPr>
          <w:p w:rsidR="00331BDD" w:rsidRPr="00331BDD" w:rsidRDefault="00331BDD" w:rsidP="00EF15FF">
            <w:pPr>
              <w:pStyle w:val="ListParagraph"/>
              <w:numPr>
                <w:ilvl w:val="0"/>
                <w:numId w:val="0"/>
              </w:numPr>
              <w:spacing w:after="0"/>
              <w:jc w:val="left"/>
              <w:rPr>
                <w:b/>
                <w:color w:val="000000"/>
                <w:sz w:val="27"/>
                <w:szCs w:val="27"/>
              </w:rPr>
            </w:pPr>
          </w:p>
        </w:tc>
        <w:tc>
          <w:tcPr>
            <w:tcW w:w="5552" w:type="dxa"/>
            <w:tcBorders>
              <w:top w:val="single" w:sz="4" w:space="0" w:color="auto"/>
            </w:tcBorders>
            <w:shd w:val="clear" w:color="auto" w:fill="auto"/>
            <w:vAlign w:val="center"/>
          </w:tcPr>
          <w:p w:rsidR="00331BDD" w:rsidRPr="00C16792" w:rsidRDefault="005B18CF" w:rsidP="00EF15FF">
            <w:pPr>
              <w:spacing w:after="0"/>
              <w:jc w:val="left"/>
              <w:rPr>
                <w:sz w:val="20"/>
                <w:lang w:val="en-US"/>
              </w:rPr>
            </w:pPr>
            <w:r w:rsidRPr="00C16792">
              <w:rPr>
                <w:sz w:val="20"/>
                <w:lang w:val="en-US"/>
              </w:rPr>
              <w:t>2.3.2.6. Projekat kućna njega i pomoć u kući</w:t>
            </w:r>
          </w:p>
        </w:tc>
      </w:tr>
    </w:tbl>
    <w:p w:rsidR="00FC0C22" w:rsidRPr="00FC0C22" w:rsidRDefault="00881DF1" w:rsidP="00FC0C22">
      <w:pPr>
        <w:rPr>
          <w:rFonts w:ascii="Calibri" w:eastAsia="Times New Roman" w:hAnsi="Calibri" w:cs="Calibri"/>
          <w:sz w:val="18"/>
          <w:szCs w:val="18"/>
          <w:lang w:val="en-GB" w:eastAsia="en-GB"/>
        </w:rPr>
      </w:pPr>
      <w:r w:rsidRPr="00881DF1">
        <w:t>Ukupna očekivana ulaganja za realizaciju sektorskog plana</w:t>
      </w:r>
      <w:r w:rsidR="00FC0C22">
        <w:t xml:space="preserve"> društvenog razvoja su: </w:t>
      </w:r>
      <w:r w:rsidR="006A4A95" w:rsidRPr="006A4A95">
        <w:t xml:space="preserve">15.426.419 </w:t>
      </w:r>
      <w:r w:rsidR="00D155C4" w:rsidRPr="0084735E">
        <w:t>KM.</w:t>
      </w:r>
      <w:r w:rsidR="00D155C4">
        <w:t xml:space="preserve"> </w:t>
      </w:r>
    </w:p>
    <w:p w:rsidR="007B26DF" w:rsidRPr="00881DF1" w:rsidRDefault="007B26DF" w:rsidP="00AD59CB"/>
    <w:p w:rsidR="00881DF1" w:rsidRPr="00881DF1" w:rsidRDefault="003F320A" w:rsidP="00931888">
      <w:pPr>
        <w:pStyle w:val="Heading2"/>
      </w:pPr>
      <w:bookmarkStart w:id="129" w:name="_Toc298390164"/>
      <w:bookmarkStart w:id="130" w:name="_Toc491379783"/>
      <w:bookmarkStart w:id="131" w:name="_Toc500140058"/>
      <w:r>
        <w:t>V.3</w:t>
      </w:r>
      <w:r w:rsidR="00881DF1" w:rsidRPr="00881DF1">
        <w:tab/>
        <w:t>Plan zaštite životne sredine</w:t>
      </w:r>
      <w:bookmarkEnd w:id="129"/>
      <w:bookmarkEnd w:id="130"/>
      <w:bookmarkEnd w:id="131"/>
    </w:p>
    <w:p w:rsidR="007C55B5" w:rsidRDefault="007C55B5" w:rsidP="00C86F0E">
      <w:r w:rsidRPr="00CC5E7D">
        <w:t xml:space="preserve">Osnova za izradu Plana </w:t>
      </w:r>
      <w:r>
        <w:rPr>
          <w:color w:val="000000"/>
          <w:szCs w:val="27"/>
        </w:rPr>
        <w:t>zaštite životne sredine</w:t>
      </w:r>
      <w:r w:rsidRPr="00CC5E7D">
        <w:t xml:space="preserve"> </w:t>
      </w:r>
      <w:r>
        <w:t xml:space="preserve">je SWOT analiza, </w:t>
      </w:r>
      <w:r w:rsidRPr="00CC5E7D">
        <w:t xml:space="preserve">kao i </w:t>
      </w:r>
      <w:r>
        <w:t>sve</w:t>
      </w:r>
      <w:r w:rsidRPr="00CC5E7D">
        <w:t xml:space="preserve"> relevantne informacije sadržane u socio-ek</w:t>
      </w:r>
      <w:r>
        <w:t>onomskoj analizi i stavovi članova Partnerske grupe</w:t>
      </w:r>
      <w:r w:rsidRPr="00CC5E7D">
        <w:t xml:space="preserve"> općine Kalesije.</w:t>
      </w:r>
    </w:p>
    <w:p w:rsidR="007F6D7D" w:rsidRPr="007F6D7D" w:rsidRDefault="007F6D7D" w:rsidP="00C86F0E">
      <w:pPr>
        <w:rPr>
          <w:lang w:val="en-US"/>
        </w:rPr>
      </w:pPr>
      <w:r w:rsidRPr="007F6D7D">
        <w:rPr>
          <w:lang w:val="en-US"/>
        </w:rPr>
        <w:t>Fokusi zaštite životne sredine:</w:t>
      </w:r>
    </w:p>
    <w:p w:rsidR="007F6D7D" w:rsidRPr="007F6D7D" w:rsidRDefault="007F6D7D" w:rsidP="007F6D7D">
      <w:pPr>
        <w:pStyle w:val="ListParagraph"/>
        <w:numPr>
          <w:ilvl w:val="0"/>
          <w:numId w:val="27"/>
        </w:numPr>
        <w:rPr>
          <w:lang w:val="en-US"/>
        </w:rPr>
      </w:pPr>
      <w:r w:rsidRPr="007F6D7D">
        <w:rPr>
          <w:lang w:val="en-US"/>
        </w:rPr>
        <w:t>Poboljšanje kvalitete zraka na području općine;</w:t>
      </w:r>
    </w:p>
    <w:p w:rsidR="007F6D7D" w:rsidRPr="007F6D7D" w:rsidRDefault="007F6D7D" w:rsidP="007F6D7D">
      <w:pPr>
        <w:pStyle w:val="ListParagraph"/>
        <w:numPr>
          <w:ilvl w:val="0"/>
          <w:numId w:val="27"/>
        </w:numPr>
        <w:rPr>
          <w:lang w:val="en-US"/>
        </w:rPr>
      </w:pPr>
      <w:r w:rsidRPr="007F6D7D">
        <w:rPr>
          <w:lang w:val="en-US"/>
        </w:rPr>
        <w:t>Unapređenje sistema upravljanja otpadom,</w:t>
      </w:r>
    </w:p>
    <w:p w:rsidR="007C55B5" w:rsidRPr="00C86F0E" w:rsidRDefault="007F6D7D" w:rsidP="00C86F0E">
      <w:pPr>
        <w:pStyle w:val="ListParagraph"/>
        <w:numPr>
          <w:ilvl w:val="0"/>
          <w:numId w:val="27"/>
        </w:numPr>
        <w:rPr>
          <w:lang w:val="en-US"/>
        </w:rPr>
      </w:pPr>
      <w:r w:rsidRPr="007F6D7D">
        <w:rPr>
          <w:lang w:val="en-US"/>
        </w:rPr>
        <w:t>Smanjenje rizika od poplava i klizišta.</w:t>
      </w:r>
    </w:p>
    <w:p w:rsidR="00931888" w:rsidRDefault="00931888">
      <w:pPr>
        <w:rPr>
          <w:rFonts w:eastAsia="Times New Roman"/>
          <w:b/>
          <w:bCs/>
          <w:szCs w:val="26"/>
        </w:rPr>
      </w:pPr>
      <w:bookmarkStart w:id="132" w:name="_Toc491379784"/>
    </w:p>
    <w:p w:rsidR="00881DF1" w:rsidRPr="00881DF1" w:rsidRDefault="00881DF1" w:rsidP="00AD59CB">
      <w:pPr>
        <w:pStyle w:val="Heading3"/>
      </w:pPr>
      <w:bookmarkStart w:id="133" w:name="_Toc500140059"/>
      <w:r w:rsidRPr="00881DF1">
        <w:t>V.3.1.</w:t>
      </w:r>
      <w:r w:rsidRPr="00881DF1">
        <w:tab/>
        <w:t>Pregled sektorskih ciljeva sa očekivanim ishodima i indikatorima</w:t>
      </w:r>
      <w:bookmarkEnd w:id="132"/>
      <w:bookmarkEnd w:id="133"/>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A0" w:firstRow="1" w:lastRow="0" w:firstColumn="1" w:lastColumn="0" w:noHBand="0" w:noVBand="0"/>
      </w:tblPr>
      <w:tblGrid>
        <w:gridCol w:w="2943"/>
        <w:gridCol w:w="3777"/>
        <w:gridCol w:w="3018"/>
      </w:tblGrid>
      <w:tr w:rsidR="00881DF1" w:rsidRPr="00881DF1" w:rsidTr="00C86F0E">
        <w:tc>
          <w:tcPr>
            <w:tcW w:w="2943" w:type="dxa"/>
            <w:shd w:val="clear" w:color="auto" w:fill="C6D9F1"/>
            <w:vAlign w:val="center"/>
          </w:tcPr>
          <w:p w:rsidR="00881DF1" w:rsidRPr="00C16792" w:rsidRDefault="00881DF1" w:rsidP="00B72689">
            <w:pPr>
              <w:jc w:val="left"/>
              <w:rPr>
                <w:b/>
              </w:rPr>
            </w:pPr>
            <w:r w:rsidRPr="00C16792">
              <w:rPr>
                <w:b/>
              </w:rPr>
              <w:t>Sektorski cilj</w:t>
            </w:r>
          </w:p>
        </w:tc>
        <w:tc>
          <w:tcPr>
            <w:tcW w:w="3777" w:type="dxa"/>
            <w:shd w:val="clear" w:color="auto" w:fill="C6D9F1"/>
            <w:vAlign w:val="center"/>
          </w:tcPr>
          <w:p w:rsidR="00881DF1" w:rsidRPr="00C16792" w:rsidRDefault="00881DF1" w:rsidP="00B72689">
            <w:pPr>
              <w:jc w:val="left"/>
              <w:rPr>
                <w:b/>
              </w:rPr>
            </w:pPr>
            <w:r w:rsidRPr="00C16792">
              <w:rPr>
                <w:b/>
              </w:rPr>
              <w:t>Očekivani ishod</w:t>
            </w:r>
          </w:p>
        </w:tc>
        <w:tc>
          <w:tcPr>
            <w:tcW w:w="3018" w:type="dxa"/>
            <w:shd w:val="clear" w:color="auto" w:fill="C6D9F1"/>
            <w:vAlign w:val="center"/>
          </w:tcPr>
          <w:p w:rsidR="00881DF1" w:rsidRPr="00C16792" w:rsidRDefault="00881DF1" w:rsidP="00B72689">
            <w:pPr>
              <w:jc w:val="left"/>
              <w:rPr>
                <w:b/>
              </w:rPr>
            </w:pPr>
            <w:r w:rsidRPr="00C16792">
              <w:rPr>
                <w:b/>
              </w:rPr>
              <w:t>Indikator</w:t>
            </w:r>
          </w:p>
        </w:tc>
      </w:tr>
      <w:tr w:rsidR="00881DF1" w:rsidRPr="00881DF1" w:rsidTr="00C86F0E">
        <w:tc>
          <w:tcPr>
            <w:tcW w:w="2943" w:type="dxa"/>
            <w:vAlign w:val="center"/>
          </w:tcPr>
          <w:p w:rsidR="00881DF1" w:rsidRPr="007C55B5" w:rsidRDefault="006C58C7" w:rsidP="007C55B5">
            <w:pPr>
              <w:ind w:left="144"/>
              <w:jc w:val="left"/>
              <w:rPr>
                <w:b/>
                <w:sz w:val="20"/>
                <w:szCs w:val="20"/>
                <w:lang w:val="it-IT"/>
              </w:rPr>
            </w:pPr>
            <w:r w:rsidRPr="007C55B5">
              <w:rPr>
                <w:b/>
                <w:sz w:val="20"/>
                <w:szCs w:val="20"/>
                <w:lang w:val="it-IT"/>
              </w:rPr>
              <w:t xml:space="preserve">3.1 Unaprijediti komunalnu </w:t>
            </w:r>
            <w:r w:rsidR="00B72689" w:rsidRPr="007C55B5">
              <w:rPr>
                <w:b/>
                <w:sz w:val="20"/>
                <w:szCs w:val="20"/>
                <w:lang w:val="it-IT"/>
              </w:rPr>
              <w:t>infrastrukturu</w:t>
            </w:r>
          </w:p>
        </w:tc>
        <w:tc>
          <w:tcPr>
            <w:tcW w:w="3777" w:type="dxa"/>
          </w:tcPr>
          <w:p w:rsidR="00881DF1" w:rsidRPr="00C16792" w:rsidRDefault="00C16792" w:rsidP="00053E79">
            <w:pPr>
              <w:pStyle w:val="ListParagraph"/>
              <w:numPr>
                <w:ilvl w:val="0"/>
                <w:numId w:val="23"/>
              </w:numPr>
              <w:ind w:left="423"/>
              <w:jc w:val="left"/>
            </w:pPr>
            <w:r w:rsidRPr="001B4B96">
              <w:rPr>
                <w:color w:val="000000"/>
                <w:sz w:val="20"/>
                <w:szCs w:val="27"/>
              </w:rPr>
              <w:t>Najmanje 40 % anketiranih stanovnika zadovoljnije</w:t>
            </w:r>
            <w:r w:rsidR="00012BDD">
              <w:rPr>
                <w:color w:val="000000"/>
                <w:sz w:val="20"/>
                <w:szCs w:val="27"/>
              </w:rPr>
              <w:t xml:space="preserve"> kvalitetnom </w:t>
            </w:r>
            <w:r w:rsidRPr="001B4B96">
              <w:rPr>
                <w:color w:val="000000"/>
                <w:sz w:val="20"/>
                <w:szCs w:val="27"/>
              </w:rPr>
              <w:t>putne infrastrukture na području općine Kalesije u 2022 godinu, u odnosu na 2018.godinu ( nije vršena anketa po ovom osnovu, ista se planira vršit u  toku 2018</w:t>
            </w:r>
            <w:r w:rsidR="00045185" w:rsidRPr="001B4B96">
              <w:rPr>
                <w:color w:val="000000"/>
                <w:sz w:val="20"/>
                <w:szCs w:val="27"/>
              </w:rPr>
              <w:t xml:space="preserve"> godine;</w:t>
            </w:r>
          </w:p>
          <w:p w:rsidR="00C16792" w:rsidRPr="00045185" w:rsidRDefault="00C16792" w:rsidP="00053E79">
            <w:pPr>
              <w:pStyle w:val="ListParagraph"/>
              <w:numPr>
                <w:ilvl w:val="0"/>
                <w:numId w:val="1"/>
              </w:numPr>
              <w:tabs>
                <w:tab w:val="clear" w:pos="1069"/>
              </w:tabs>
              <w:ind w:left="423"/>
              <w:jc w:val="left"/>
            </w:pPr>
            <w:r w:rsidRPr="00C16792">
              <w:rPr>
                <w:sz w:val="20"/>
              </w:rPr>
              <w:t xml:space="preserve">Obezbjeđeno </w:t>
            </w:r>
            <w:r>
              <w:rPr>
                <w:sz w:val="20"/>
              </w:rPr>
              <w:t xml:space="preserve">pouzdano vodosnadbjevanje ( 24 sata na dan) građani u svim visinskim zonama </w:t>
            </w:r>
            <w:r w:rsidR="00045185">
              <w:rPr>
                <w:sz w:val="20"/>
              </w:rPr>
              <w:t>na području općine Kalesija do kraja 2020. godine;</w:t>
            </w:r>
          </w:p>
          <w:p w:rsidR="00045185" w:rsidRPr="00045185" w:rsidRDefault="00045185" w:rsidP="00053E79">
            <w:pPr>
              <w:pStyle w:val="ListParagraph"/>
              <w:numPr>
                <w:ilvl w:val="0"/>
                <w:numId w:val="1"/>
              </w:numPr>
              <w:ind w:left="423"/>
              <w:jc w:val="left"/>
            </w:pPr>
            <w:r>
              <w:rPr>
                <w:sz w:val="20"/>
              </w:rPr>
              <w:t>Sav komunalni otpad na području općine Kalesija zbrinut u skladu sa propisima do kraja 2022.  godine ;</w:t>
            </w:r>
          </w:p>
          <w:p w:rsidR="00045185" w:rsidRPr="00881DF1" w:rsidRDefault="00045185" w:rsidP="00053E79">
            <w:pPr>
              <w:pStyle w:val="ListParagraph"/>
              <w:numPr>
                <w:ilvl w:val="0"/>
                <w:numId w:val="1"/>
              </w:numPr>
              <w:ind w:left="423"/>
              <w:jc w:val="left"/>
            </w:pPr>
            <w:r>
              <w:rPr>
                <w:sz w:val="20"/>
              </w:rPr>
              <w:t>Smanjeno zagađenje tla od otpadnih voda  za 15%  do 2022. godine u odnosu na 2018. godinu ( nije vršeno ispitivanje zagađenja tla , planira se izvršiti u zoku 2018. godine ).</w:t>
            </w:r>
          </w:p>
        </w:tc>
        <w:tc>
          <w:tcPr>
            <w:tcW w:w="3018" w:type="dxa"/>
          </w:tcPr>
          <w:p w:rsidR="00045185" w:rsidRDefault="00045185" w:rsidP="00053E79">
            <w:pPr>
              <w:pStyle w:val="ListParagraph"/>
              <w:numPr>
                <w:ilvl w:val="0"/>
                <w:numId w:val="1"/>
              </w:numPr>
              <w:tabs>
                <w:tab w:val="clear" w:pos="1069"/>
              </w:tabs>
              <w:ind w:left="364"/>
              <w:jc w:val="left"/>
              <w:rPr>
                <w:sz w:val="20"/>
              </w:rPr>
            </w:pPr>
            <w:r w:rsidRPr="00045185">
              <w:rPr>
                <w:sz w:val="20"/>
              </w:rPr>
              <w:t xml:space="preserve">Stepen zadovoljstva zastanovnika </w:t>
            </w:r>
            <w:r>
              <w:rPr>
                <w:sz w:val="20"/>
              </w:rPr>
              <w:t>kvalitetom  putne infrastrukture na području općine Kalesija;</w:t>
            </w:r>
          </w:p>
          <w:p w:rsidR="00045185" w:rsidRDefault="001B4B96" w:rsidP="00053E79">
            <w:pPr>
              <w:pStyle w:val="ListParagraph"/>
              <w:numPr>
                <w:ilvl w:val="0"/>
                <w:numId w:val="1"/>
              </w:numPr>
              <w:tabs>
                <w:tab w:val="clear" w:pos="1069"/>
              </w:tabs>
              <w:ind w:left="364"/>
              <w:jc w:val="left"/>
              <w:rPr>
                <w:sz w:val="20"/>
              </w:rPr>
            </w:pPr>
            <w:r>
              <w:rPr>
                <w:sz w:val="20"/>
              </w:rPr>
              <w:t>% stanovnika u svim visinskim zonama na području općine koji  je pokriven pouzdanom uslugom vodosnadbjevanje ( 24 sata na dan);</w:t>
            </w:r>
          </w:p>
          <w:p w:rsidR="001B4B96" w:rsidRDefault="001B4B96" w:rsidP="00053E79">
            <w:pPr>
              <w:pStyle w:val="ListParagraph"/>
              <w:numPr>
                <w:ilvl w:val="0"/>
                <w:numId w:val="1"/>
              </w:numPr>
              <w:tabs>
                <w:tab w:val="clear" w:pos="1069"/>
              </w:tabs>
              <w:ind w:left="364"/>
              <w:jc w:val="left"/>
              <w:rPr>
                <w:sz w:val="20"/>
              </w:rPr>
            </w:pPr>
            <w:r>
              <w:rPr>
                <w:sz w:val="20"/>
              </w:rPr>
              <w:t>% komunalnog otpada na području općinskoj je zbrinut u skladu sa vazećim propisima propisima;</w:t>
            </w:r>
          </w:p>
          <w:p w:rsidR="00881DF1" w:rsidRPr="00B72689" w:rsidRDefault="001B4B96" w:rsidP="00053E79">
            <w:pPr>
              <w:pStyle w:val="ListParagraph"/>
              <w:numPr>
                <w:ilvl w:val="0"/>
                <w:numId w:val="1"/>
              </w:numPr>
              <w:tabs>
                <w:tab w:val="clear" w:pos="1069"/>
              </w:tabs>
              <w:ind w:left="364"/>
              <w:jc w:val="left"/>
              <w:rPr>
                <w:sz w:val="20"/>
              </w:rPr>
            </w:pPr>
            <w:r>
              <w:rPr>
                <w:sz w:val="20"/>
              </w:rPr>
              <w:t>Stepen zagađenja tla od otpadnih voda.</w:t>
            </w:r>
          </w:p>
        </w:tc>
      </w:tr>
      <w:tr w:rsidR="00881DF1" w:rsidRPr="00881DF1" w:rsidTr="00C86F0E">
        <w:tc>
          <w:tcPr>
            <w:tcW w:w="2943" w:type="dxa"/>
            <w:vAlign w:val="center"/>
          </w:tcPr>
          <w:p w:rsidR="00881DF1" w:rsidRPr="007C55B5" w:rsidRDefault="001B4B96" w:rsidP="007C55B5">
            <w:pPr>
              <w:ind w:left="144"/>
              <w:jc w:val="left"/>
              <w:rPr>
                <w:b/>
                <w:sz w:val="20"/>
                <w:szCs w:val="20"/>
                <w:lang w:val="it-IT"/>
              </w:rPr>
            </w:pPr>
            <w:r w:rsidRPr="007C55B5">
              <w:rPr>
                <w:b/>
                <w:sz w:val="20"/>
                <w:szCs w:val="20"/>
                <w:lang w:val="it-IT"/>
              </w:rPr>
              <w:t xml:space="preserve">3.2 </w:t>
            </w:r>
            <w:r w:rsidR="00012BDD" w:rsidRPr="007C55B5">
              <w:rPr>
                <w:b/>
                <w:sz w:val="20"/>
                <w:szCs w:val="20"/>
                <w:lang w:val="it-IT"/>
              </w:rPr>
              <w:t xml:space="preserve">Poboljšati </w:t>
            </w:r>
            <w:r w:rsidRPr="007C55B5">
              <w:rPr>
                <w:b/>
                <w:sz w:val="20"/>
                <w:szCs w:val="20"/>
                <w:lang w:val="it-IT"/>
              </w:rPr>
              <w:t>kvalitet zraka primjenom mjera energeske efi</w:t>
            </w:r>
            <w:r w:rsidR="00B72689" w:rsidRPr="007C55B5">
              <w:rPr>
                <w:b/>
                <w:sz w:val="20"/>
                <w:szCs w:val="20"/>
                <w:lang w:val="it-IT"/>
              </w:rPr>
              <w:t>kasnosti</w:t>
            </w:r>
          </w:p>
        </w:tc>
        <w:tc>
          <w:tcPr>
            <w:tcW w:w="3777" w:type="dxa"/>
          </w:tcPr>
          <w:p w:rsidR="00881DF1" w:rsidRPr="00012BDD" w:rsidRDefault="00012BDD" w:rsidP="00053E79">
            <w:pPr>
              <w:pStyle w:val="ListParagraph"/>
              <w:numPr>
                <w:ilvl w:val="0"/>
                <w:numId w:val="1"/>
              </w:numPr>
              <w:tabs>
                <w:tab w:val="clear" w:pos="1069"/>
              </w:tabs>
              <w:ind w:left="459" w:right="125" w:hanging="425"/>
              <w:jc w:val="left"/>
              <w:rPr>
                <w:sz w:val="18"/>
              </w:rPr>
            </w:pPr>
            <w:r w:rsidRPr="00012BDD">
              <w:rPr>
                <w:color w:val="000000"/>
                <w:sz w:val="20"/>
                <w:szCs w:val="27"/>
              </w:rPr>
              <w:t>Poboljšan kvalitet zraka za 15% do 2022.godine u odnosu na 2017. godinu</w:t>
            </w:r>
          </w:p>
          <w:p w:rsidR="00881DF1" w:rsidRPr="00881DF1" w:rsidRDefault="00881DF1" w:rsidP="00053E79">
            <w:pPr>
              <w:ind w:right="125" w:hanging="425"/>
              <w:jc w:val="left"/>
            </w:pPr>
          </w:p>
        </w:tc>
        <w:tc>
          <w:tcPr>
            <w:tcW w:w="3018" w:type="dxa"/>
          </w:tcPr>
          <w:p w:rsidR="00881DF1" w:rsidRPr="00B72689" w:rsidRDefault="00012BDD" w:rsidP="00053E79">
            <w:pPr>
              <w:pStyle w:val="ListParagraph"/>
              <w:numPr>
                <w:ilvl w:val="0"/>
                <w:numId w:val="1"/>
              </w:numPr>
              <w:tabs>
                <w:tab w:val="clear" w:pos="1069"/>
              </w:tabs>
              <w:ind w:left="226" w:right="146" w:hanging="279"/>
              <w:jc w:val="left"/>
              <w:rPr>
                <w:sz w:val="20"/>
              </w:rPr>
            </w:pPr>
            <w:r w:rsidRPr="00012BDD">
              <w:rPr>
                <w:sz w:val="20"/>
              </w:rPr>
              <w:t>Stepen usklađenosti parametara kvalitete</w:t>
            </w:r>
            <w:r w:rsidR="00B72689">
              <w:rPr>
                <w:sz w:val="20"/>
              </w:rPr>
              <w:t xml:space="preserve"> zraka za propisanim standardim</w:t>
            </w:r>
          </w:p>
        </w:tc>
      </w:tr>
      <w:tr w:rsidR="00881DF1" w:rsidRPr="00881DF1" w:rsidTr="00C86F0E">
        <w:tc>
          <w:tcPr>
            <w:tcW w:w="2943" w:type="dxa"/>
            <w:vAlign w:val="center"/>
          </w:tcPr>
          <w:p w:rsidR="00881DF1" w:rsidRPr="007C55B5" w:rsidRDefault="00012BDD" w:rsidP="007C55B5">
            <w:pPr>
              <w:ind w:left="144"/>
              <w:jc w:val="left"/>
              <w:rPr>
                <w:b/>
                <w:sz w:val="20"/>
                <w:szCs w:val="20"/>
                <w:lang w:val="it-IT"/>
              </w:rPr>
            </w:pPr>
            <w:r w:rsidRPr="007C55B5">
              <w:rPr>
                <w:b/>
                <w:sz w:val="20"/>
                <w:szCs w:val="20"/>
                <w:lang w:val="it-IT"/>
              </w:rPr>
              <w:t>3.3 Unaprijediti upravljanje vodama i smanji</w:t>
            </w:r>
            <w:r w:rsidR="00B72689" w:rsidRPr="007C55B5">
              <w:rPr>
                <w:b/>
                <w:sz w:val="20"/>
                <w:szCs w:val="20"/>
                <w:lang w:val="it-IT"/>
              </w:rPr>
              <w:t>ti rizike od poplava i klizišta</w:t>
            </w:r>
          </w:p>
        </w:tc>
        <w:tc>
          <w:tcPr>
            <w:tcW w:w="3777" w:type="dxa"/>
          </w:tcPr>
          <w:p w:rsidR="00012BDD" w:rsidRPr="00B72689" w:rsidRDefault="00012BDD" w:rsidP="00053E79">
            <w:pPr>
              <w:pStyle w:val="ListParagraph"/>
              <w:numPr>
                <w:ilvl w:val="0"/>
                <w:numId w:val="24"/>
              </w:numPr>
              <w:ind w:left="459" w:right="125" w:hanging="425"/>
              <w:jc w:val="left"/>
              <w:rPr>
                <w:sz w:val="20"/>
              </w:rPr>
            </w:pPr>
            <w:r w:rsidRPr="00012BDD">
              <w:rPr>
                <w:sz w:val="20"/>
              </w:rPr>
              <w:t>Rizik od izlijevanja i plavljenja vodotoka rijeke Spreče, Gribaje, Dubnice i Tavne smanjiti za 20% do 2022. godine u odnosu na 2017. Godinu</w:t>
            </w:r>
          </w:p>
          <w:p w:rsidR="00881DF1" w:rsidRPr="00881DF1" w:rsidRDefault="00316D53" w:rsidP="00053E79">
            <w:pPr>
              <w:pStyle w:val="ListParagraph"/>
              <w:numPr>
                <w:ilvl w:val="0"/>
                <w:numId w:val="24"/>
              </w:numPr>
              <w:ind w:left="459" w:right="125" w:hanging="425"/>
              <w:jc w:val="left"/>
            </w:pPr>
            <w:r w:rsidRPr="006974F1">
              <w:rPr>
                <w:sz w:val="20"/>
              </w:rPr>
              <w:t>Smanjiti obim materijalnih šteta na područjima općine koja su pogođena elementarnim nepogodama za 20% u periodu 2018-2022 u odnosu za period 2014-2017</w:t>
            </w:r>
          </w:p>
        </w:tc>
        <w:tc>
          <w:tcPr>
            <w:tcW w:w="3018" w:type="dxa"/>
          </w:tcPr>
          <w:p w:rsidR="00881DF1" w:rsidRDefault="006974F1" w:rsidP="00053E79">
            <w:pPr>
              <w:pStyle w:val="ListParagraph"/>
              <w:numPr>
                <w:ilvl w:val="0"/>
                <w:numId w:val="24"/>
              </w:numPr>
              <w:ind w:left="226" w:right="146" w:hanging="279"/>
              <w:jc w:val="left"/>
              <w:rPr>
                <w:sz w:val="20"/>
              </w:rPr>
            </w:pPr>
            <w:r w:rsidRPr="006974F1">
              <w:rPr>
                <w:sz w:val="20"/>
              </w:rPr>
              <w:t>Stepen rizika od izlijevanja i plavljenja vodotoka rijeke Spreče, Gribaje, Dubnice i Tavne</w:t>
            </w:r>
            <w:r>
              <w:rPr>
                <w:sz w:val="20"/>
              </w:rPr>
              <w:t>.</w:t>
            </w:r>
          </w:p>
          <w:p w:rsidR="00881DF1" w:rsidRPr="00881DF1" w:rsidRDefault="006974F1" w:rsidP="00053E79">
            <w:pPr>
              <w:pStyle w:val="ListParagraph"/>
              <w:numPr>
                <w:ilvl w:val="0"/>
                <w:numId w:val="24"/>
              </w:numPr>
              <w:ind w:left="226" w:right="146" w:hanging="279"/>
              <w:jc w:val="left"/>
            </w:pPr>
            <w:r w:rsidRPr="006974F1">
              <w:rPr>
                <w:sz w:val="20"/>
              </w:rPr>
              <w:t>Obim materijalnih šteta na područjima općine koja su pogođena elementarnim nepogodama</w:t>
            </w:r>
          </w:p>
        </w:tc>
      </w:tr>
    </w:tbl>
    <w:p w:rsidR="00881DF1" w:rsidRDefault="00881DF1" w:rsidP="00AD59CB">
      <w:pPr>
        <w:pStyle w:val="Heading3"/>
      </w:pPr>
      <w:bookmarkStart w:id="134" w:name="_Toc491379785"/>
      <w:bookmarkStart w:id="135" w:name="_Toc500140060"/>
      <w:r w:rsidRPr="00881DF1">
        <w:t>V.3.2. Usklađenost sa strateškim dokumentima viših nivoa</w:t>
      </w:r>
      <w:bookmarkEnd w:id="134"/>
      <w:bookmarkEnd w:id="135"/>
    </w:p>
    <w:p w:rsidR="007B26DF" w:rsidRDefault="007B26DF" w:rsidP="003F320A">
      <w:r>
        <w:t>U oblasti zaštite okoliša, sektorski prioritet</w:t>
      </w:r>
      <w:r w:rsidR="007C55B5">
        <w:t>i</w:t>
      </w:r>
      <w:r>
        <w:t xml:space="preserve"> općine Kalesija definirani su u skladu sa važećim strateškim dokumentima na nivou BiH i FBiH: Akcionim planom zaštite životne sredine Bosne i Hercegovine, Strategijom zbrinjavanja čvrstog otpada BiH, Federalnim planom upravljanjem otpadom 2012-2017, Strategijom </w:t>
      </w:r>
      <w:r w:rsidR="00E94AED">
        <w:t>zaštite okoliša FbiH, Strategijom upravljanjem vodama i Planom upravljanja šumama FBiH.</w:t>
      </w:r>
    </w:p>
    <w:p w:rsidR="00E94AED" w:rsidRPr="007C55B5" w:rsidRDefault="007C55B5" w:rsidP="003F320A">
      <w:r>
        <w:t>Svi sektorski</w:t>
      </w:r>
      <w:r w:rsidR="00E94AED">
        <w:t xml:space="preserve"> ciljevi </w:t>
      </w:r>
      <w:r>
        <w:t xml:space="preserve">u Strategiji razvoja općine Kalesija su </w:t>
      </w:r>
      <w:r w:rsidR="00E94AED">
        <w:rPr>
          <w:szCs w:val="20"/>
          <w:lang w:val="hr-BA"/>
        </w:rPr>
        <w:t xml:space="preserve">u skladu sa strateškim ciljem 5. u Strategiji razvoja Tuzlanskog kantona za period 2016-2020. godina: </w:t>
      </w:r>
      <w:r w:rsidR="00E94AED" w:rsidRPr="007C55B5">
        <w:rPr>
          <w:i/>
          <w:color w:val="000000"/>
          <w:szCs w:val="27"/>
        </w:rPr>
        <w:t>Uspostaviti funkcionalan sistem zaštite okoliša i održivog upravljanja prirodnim resursima</w:t>
      </w:r>
      <w:r>
        <w:rPr>
          <w:color w:val="000000"/>
          <w:szCs w:val="27"/>
        </w:rPr>
        <w:t>.</w:t>
      </w:r>
    </w:p>
    <w:p w:rsidR="00881DF1" w:rsidRDefault="00881DF1" w:rsidP="00AD59CB">
      <w:pPr>
        <w:pStyle w:val="Heading3"/>
      </w:pPr>
      <w:bookmarkStart w:id="136" w:name="_Toc491379786"/>
      <w:bookmarkStart w:id="137" w:name="_Toc500140061"/>
      <w:r w:rsidRPr="00881DF1">
        <w:lastRenderedPageBreak/>
        <w:t>V.3.3. Inicijative međuopćinske saradnje</w:t>
      </w:r>
      <w:bookmarkEnd w:id="136"/>
      <w:bookmarkEnd w:id="137"/>
      <w:r w:rsidRPr="00881DF1">
        <w:t xml:space="preserve"> </w:t>
      </w:r>
    </w:p>
    <w:p w:rsidR="007F6D7D" w:rsidRPr="007F6D7D" w:rsidRDefault="007F6D7D" w:rsidP="008A2A6D">
      <w:pPr>
        <w:rPr>
          <w:lang w:val="en-US"/>
        </w:rPr>
      </w:pPr>
      <w:r>
        <w:rPr>
          <w:lang w:val="en-US"/>
        </w:rPr>
        <w:t xml:space="preserve">Općina Kalesija </w:t>
      </w:r>
      <w:r w:rsidRPr="007F6D7D">
        <w:rPr>
          <w:lang w:val="en-US"/>
        </w:rPr>
        <w:t xml:space="preserve"> će ostvariti me</w:t>
      </w:r>
      <w:r w:rsidR="007C55B5">
        <w:rPr>
          <w:lang w:val="en-US"/>
        </w:rPr>
        <w:t>đuopćinsku saradnju sa općinama</w:t>
      </w:r>
      <w:r w:rsidR="007971B0">
        <w:rPr>
          <w:lang w:val="en-US"/>
        </w:rPr>
        <w:t xml:space="preserve"> Bratunac</w:t>
      </w:r>
      <w:r w:rsidR="007C55B5">
        <w:rPr>
          <w:lang w:val="en-US"/>
        </w:rPr>
        <w:t>, Vlasenica, Še</w:t>
      </w:r>
      <w:r w:rsidR="007971B0">
        <w:rPr>
          <w:lang w:val="en-US"/>
        </w:rPr>
        <w:t>kovići,</w:t>
      </w:r>
      <w:r w:rsidR="007C55B5">
        <w:rPr>
          <w:lang w:val="en-US"/>
        </w:rPr>
        <w:t xml:space="preserve"> Srebrenica, Milići, Sapna i </w:t>
      </w:r>
      <w:r w:rsidR="007971B0">
        <w:rPr>
          <w:lang w:val="en-US"/>
        </w:rPr>
        <w:t xml:space="preserve">Osmaci u </w:t>
      </w:r>
      <w:r w:rsidRPr="007F6D7D">
        <w:rPr>
          <w:lang w:val="en-US"/>
        </w:rPr>
        <w:t xml:space="preserve">oblasti zbrinjavanja čvrstog </w:t>
      </w:r>
      <w:r w:rsidR="007C55B5">
        <w:rPr>
          <w:lang w:val="en-US"/>
        </w:rPr>
        <w:t>otpada, konkretnije na projektu</w:t>
      </w:r>
      <w:r w:rsidRPr="007F6D7D">
        <w:rPr>
          <w:lang w:val="en-US"/>
        </w:rPr>
        <w:t xml:space="preserve"> </w:t>
      </w:r>
      <w:r w:rsidR="007C55B5">
        <w:rPr>
          <w:lang w:val="en-US"/>
        </w:rPr>
        <w:t>“</w:t>
      </w:r>
      <w:r w:rsidRPr="007F6D7D">
        <w:rPr>
          <w:lang w:val="en-US"/>
        </w:rPr>
        <w:t>Izgradnje međuopćinske deponije</w:t>
      </w:r>
      <w:r w:rsidR="007C55B5">
        <w:rPr>
          <w:lang w:val="en-US"/>
        </w:rPr>
        <w:t>”</w:t>
      </w:r>
      <w:r w:rsidRPr="007F6D7D">
        <w:rPr>
          <w:lang w:val="en-US"/>
        </w:rPr>
        <w:t>.</w:t>
      </w:r>
    </w:p>
    <w:p w:rsidR="007F6D7D" w:rsidRPr="007F6D7D" w:rsidRDefault="007F6D7D" w:rsidP="003F320A">
      <w:pPr>
        <w:rPr>
          <w:lang w:val="en-US"/>
        </w:rPr>
      </w:pPr>
      <w:r w:rsidRPr="007F6D7D">
        <w:rPr>
          <w:lang w:val="en-US"/>
        </w:rPr>
        <w:t>Pored toga, saradnja sa susjednim općinama  uspostaviće se u u oblasti jačanja kapaciteta za prevenciju poplava i klizišta, konkretno na projektima „Izrada studije upravljanja vodotocima – snimanje svih kritičnih tačaka plavljenja” i „Izrada katastra klizišta”. Osim navedenih, projekti uređenja i čišćenja vodotokova koji su u nadležnosti lokalne samouprave, predstavljaće značajan se</w:t>
      </w:r>
      <w:r w:rsidR="007971B0">
        <w:rPr>
          <w:lang w:val="en-US"/>
        </w:rPr>
        <w:t xml:space="preserve">gment u kojem će općina Kalesija </w:t>
      </w:r>
      <w:r w:rsidRPr="007F6D7D">
        <w:rPr>
          <w:lang w:val="en-US"/>
        </w:rPr>
        <w:t xml:space="preserve"> </w:t>
      </w:r>
      <w:r w:rsidR="00B37B74">
        <w:rPr>
          <w:lang w:val="en-US"/>
        </w:rPr>
        <w:t>ostvariti saradnju sa općinama Živinice i Osmaci.</w:t>
      </w:r>
    </w:p>
    <w:p w:rsidR="00753D41" w:rsidRPr="00753D41" w:rsidRDefault="00881DF1" w:rsidP="00353C86">
      <w:pPr>
        <w:pStyle w:val="Heading3"/>
      </w:pPr>
      <w:bookmarkStart w:id="138" w:name="_Toc491379787"/>
      <w:bookmarkStart w:id="139" w:name="_Toc500140062"/>
      <w:r w:rsidRPr="00881DF1">
        <w:t>V.3.4.</w:t>
      </w:r>
      <w:r w:rsidRPr="00881DF1">
        <w:tab/>
        <w:t>Programi, projekti i mjer</w:t>
      </w:r>
      <w:bookmarkEnd w:id="138"/>
      <w:r w:rsidR="00353C86">
        <w:t>e</w:t>
      </w:r>
      <w:r w:rsidR="00753D41" w:rsidRPr="00753D41">
        <w:t>.</w:t>
      </w:r>
      <w:bookmarkEnd w:id="139"/>
      <w:r w:rsidR="00753D41" w:rsidRPr="00753D41">
        <w:t xml:space="preserve"> </w:t>
      </w:r>
    </w:p>
    <w:p w:rsidR="00881DF1" w:rsidRDefault="00881DF1" w:rsidP="003F320A">
      <w:r w:rsidRPr="00881DF1">
        <w:t>Za real</w:t>
      </w:r>
      <w:r w:rsidR="00353C86">
        <w:t xml:space="preserve">izaciju plana zaštita okoliša  općine  Kalesije </w:t>
      </w:r>
      <w:r w:rsidR="00457A5D">
        <w:t xml:space="preserve"> definisano je 40 projekata i mjera grupisanih u 8</w:t>
      </w:r>
      <w:r w:rsidRPr="00881DF1">
        <w:t xml:space="preserve"> programa:</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3"/>
        <w:gridCol w:w="5102"/>
      </w:tblGrid>
      <w:tr w:rsidR="00881DF1" w:rsidRPr="00B72689" w:rsidTr="007C55B5">
        <w:tc>
          <w:tcPr>
            <w:tcW w:w="4253" w:type="dxa"/>
            <w:shd w:val="clear" w:color="auto" w:fill="BDD6EE" w:themeFill="accent1" w:themeFillTint="66"/>
            <w:vAlign w:val="center"/>
          </w:tcPr>
          <w:p w:rsidR="00881DF1" w:rsidRPr="00B72689" w:rsidRDefault="00881DF1" w:rsidP="008A2A6D">
            <w:pPr>
              <w:spacing w:before="60"/>
              <w:ind w:left="144"/>
              <w:jc w:val="center"/>
              <w:rPr>
                <w:b/>
              </w:rPr>
            </w:pPr>
            <w:r w:rsidRPr="00B72689">
              <w:rPr>
                <w:b/>
              </w:rPr>
              <w:t>PROGRAM</w:t>
            </w:r>
          </w:p>
        </w:tc>
        <w:tc>
          <w:tcPr>
            <w:tcW w:w="5102" w:type="dxa"/>
            <w:shd w:val="clear" w:color="auto" w:fill="BDD6EE" w:themeFill="accent1" w:themeFillTint="66"/>
            <w:vAlign w:val="center"/>
          </w:tcPr>
          <w:p w:rsidR="00881DF1" w:rsidRPr="00B72689" w:rsidRDefault="00881DF1" w:rsidP="008A2A6D">
            <w:pPr>
              <w:spacing w:before="60"/>
              <w:rPr>
                <w:b/>
              </w:rPr>
            </w:pPr>
            <w:r w:rsidRPr="00B72689">
              <w:rPr>
                <w:b/>
              </w:rPr>
              <w:t>MJERA/PROJEKAT</w:t>
            </w:r>
          </w:p>
        </w:tc>
      </w:tr>
      <w:tr w:rsidR="00CB0C27" w:rsidRPr="00881DF1" w:rsidTr="007C55B5">
        <w:tc>
          <w:tcPr>
            <w:tcW w:w="4253" w:type="dxa"/>
            <w:vMerge w:val="restart"/>
            <w:shd w:val="clear" w:color="auto" w:fill="auto"/>
            <w:vAlign w:val="center"/>
          </w:tcPr>
          <w:p w:rsidR="00CB0C27" w:rsidRPr="00FF1FBB" w:rsidRDefault="00CB0C27" w:rsidP="008A2A6D">
            <w:pPr>
              <w:spacing w:before="60"/>
              <w:ind w:left="144"/>
              <w:jc w:val="left"/>
              <w:rPr>
                <w:b/>
                <w:sz w:val="20"/>
              </w:rPr>
            </w:pPr>
            <w:r w:rsidRPr="00FF1FBB">
              <w:rPr>
                <w:b/>
                <w:sz w:val="20"/>
              </w:rPr>
              <w:t>3.1.1. PUTNA INFRASTRUKTURA</w:t>
            </w:r>
          </w:p>
        </w:tc>
        <w:tc>
          <w:tcPr>
            <w:tcW w:w="5102" w:type="dxa"/>
            <w:tcBorders>
              <w:bottom w:val="single" w:sz="4" w:space="0" w:color="auto"/>
            </w:tcBorders>
            <w:shd w:val="clear" w:color="auto" w:fill="auto"/>
          </w:tcPr>
          <w:p w:rsidR="00CB0C27" w:rsidRPr="00AB4B94" w:rsidRDefault="00CB0C27" w:rsidP="008A2A6D">
            <w:pPr>
              <w:spacing w:before="60"/>
              <w:ind w:left="94" w:right="203"/>
              <w:jc w:val="left"/>
              <w:rPr>
                <w:sz w:val="20"/>
                <w:szCs w:val="20"/>
              </w:rPr>
            </w:pPr>
            <w:r w:rsidRPr="00AB4B94">
              <w:rPr>
                <w:sz w:val="20"/>
                <w:szCs w:val="20"/>
              </w:rPr>
              <w:t>3.1.1.1. Izgradnja puta Kalesija Gornja – Drvenice</w:t>
            </w:r>
          </w:p>
        </w:tc>
      </w:tr>
      <w:tr w:rsidR="00CB0C27" w:rsidRPr="00881DF1" w:rsidTr="007C55B5">
        <w:tc>
          <w:tcPr>
            <w:tcW w:w="4253" w:type="dxa"/>
            <w:vMerge/>
            <w:shd w:val="clear" w:color="auto" w:fill="auto"/>
            <w:vAlign w:val="center"/>
          </w:tcPr>
          <w:p w:rsidR="00CB0C27" w:rsidRPr="00FF1FBB" w:rsidRDefault="00CB0C27" w:rsidP="008A2A6D">
            <w:pPr>
              <w:spacing w:before="60"/>
              <w:ind w:left="144"/>
              <w:jc w:val="left"/>
              <w:rPr>
                <w:b/>
                <w:sz w:val="20"/>
              </w:rPr>
            </w:pPr>
          </w:p>
        </w:tc>
        <w:tc>
          <w:tcPr>
            <w:tcW w:w="5102" w:type="dxa"/>
            <w:tcBorders>
              <w:top w:val="single" w:sz="4" w:space="0" w:color="auto"/>
              <w:bottom w:val="single" w:sz="4" w:space="0" w:color="auto"/>
            </w:tcBorders>
            <w:shd w:val="clear" w:color="auto" w:fill="auto"/>
          </w:tcPr>
          <w:p w:rsidR="00CB0C27" w:rsidRPr="006974F1" w:rsidRDefault="00CB0C27" w:rsidP="008A2A6D">
            <w:pPr>
              <w:spacing w:before="60"/>
              <w:ind w:left="94" w:right="203"/>
              <w:jc w:val="left"/>
              <w:rPr>
                <w:lang w:val="en-US"/>
              </w:rPr>
            </w:pPr>
            <w:r w:rsidRPr="00CB0C27">
              <w:rPr>
                <w:sz w:val="20"/>
                <w:lang w:val="en-US"/>
              </w:rPr>
              <w:t>3.1.1.2. Izgradnja puta</w:t>
            </w:r>
            <w:r>
              <w:rPr>
                <w:sz w:val="20"/>
                <w:lang w:val="en-US"/>
              </w:rPr>
              <w:t xml:space="preserve"> </w:t>
            </w:r>
            <w:r w:rsidRPr="00CB0C27">
              <w:rPr>
                <w:sz w:val="20"/>
                <w:lang w:val="en-US"/>
              </w:rPr>
              <w:t>Kalesija – Krivača</w:t>
            </w:r>
          </w:p>
        </w:tc>
      </w:tr>
      <w:tr w:rsidR="00CB0C27" w:rsidRPr="00881DF1" w:rsidTr="007C55B5">
        <w:tc>
          <w:tcPr>
            <w:tcW w:w="4253" w:type="dxa"/>
            <w:vMerge/>
            <w:shd w:val="clear" w:color="auto" w:fill="auto"/>
            <w:vAlign w:val="center"/>
          </w:tcPr>
          <w:p w:rsidR="00CB0C27" w:rsidRPr="00FF1FBB" w:rsidRDefault="00CB0C27" w:rsidP="008A2A6D">
            <w:pPr>
              <w:spacing w:before="60"/>
              <w:ind w:left="144"/>
              <w:jc w:val="left"/>
              <w:rPr>
                <w:b/>
                <w:sz w:val="20"/>
              </w:rPr>
            </w:pPr>
          </w:p>
        </w:tc>
        <w:tc>
          <w:tcPr>
            <w:tcW w:w="5102" w:type="dxa"/>
            <w:tcBorders>
              <w:top w:val="single" w:sz="4" w:space="0" w:color="auto"/>
              <w:bottom w:val="single" w:sz="4" w:space="0" w:color="auto"/>
            </w:tcBorders>
            <w:shd w:val="clear" w:color="auto" w:fill="auto"/>
          </w:tcPr>
          <w:p w:rsidR="00CB0C27" w:rsidRPr="00CB0C27" w:rsidRDefault="00CB0C27" w:rsidP="008A2A6D">
            <w:pPr>
              <w:spacing w:before="60"/>
              <w:ind w:left="94" w:right="203"/>
              <w:jc w:val="left"/>
              <w:rPr>
                <w:sz w:val="20"/>
                <w:szCs w:val="20"/>
                <w:lang w:val="en-US"/>
              </w:rPr>
            </w:pPr>
            <w:r w:rsidRPr="00CB0C27">
              <w:rPr>
                <w:sz w:val="20"/>
                <w:szCs w:val="20"/>
              </w:rPr>
              <w:t>3.1.1.3. Izgradnja obilaznice u Kalesija Gradu</w:t>
            </w:r>
          </w:p>
        </w:tc>
      </w:tr>
      <w:tr w:rsidR="00CB0C27" w:rsidRPr="00881DF1" w:rsidTr="007C55B5">
        <w:tc>
          <w:tcPr>
            <w:tcW w:w="4253" w:type="dxa"/>
            <w:vMerge/>
            <w:shd w:val="clear" w:color="auto" w:fill="auto"/>
            <w:vAlign w:val="center"/>
          </w:tcPr>
          <w:p w:rsidR="00CB0C27" w:rsidRPr="00FF1FBB" w:rsidRDefault="00CB0C27" w:rsidP="008A2A6D">
            <w:pPr>
              <w:spacing w:before="60"/>
              <w:ind w:left="144"/>
              <w:jc w:val="left"/>
              <w:rPr>
                <w:b/>
                <w:sz w:val="20"/>
              </w:rPr>
            </w:pPr>
          </w:p>
        </w:tc>
        <w:tc>
          <w:tcPr>
            <w:tcW w:w="5102" w:type="dxa"/>
            <w:tcBorders>
              <w:top w:val="single" w:sz="4" w:space="0" w:color="auto"/>
              <w:bottom w:val="single" w:sz="4" w:space="0" w:color="auto"/>
            </w:tcBorders>
            <w:shd w:val="clear" w:color="auto" w:fill="auto"/>
          </w:tcPr>
          <w:p w:rsidR="00CB0C27" w:rsidRPr="006974F1" w:rsidRDefault="00CB0C27" w:rsidP="008A2A6D">
            <w:pPr>
              <w:spacing w:before="60"/>
              <w:ind w:left="94" w:right="203"/>
              <w:jc w:val="left"/>
              <w:rPr>
                <w:sz w:val="20"/>
                <w:lang w:val="en-US"/>
              </w:rPr>
            </w:pPr>
            <w:r w:rsidRPr="00CB0C27">
              <w:rPr>
                <w:sz w:val="20"/>
                <w:lang w:val="en-US"/>
              </w:rPr>
              <w:t>3.1.1.4. Rekostrukcija i asfaltiranje lokalnih i netegorisanih puteva po MZ u</w:t>
            </w:r>
            <w:r>
              <w:rPr>
                <w:sz w:val="20"/>
                <w:lang w:val="en-US"/>
              </w:rPr>
              <w:t xml:space="preserve"> </w:t>
            </w:r>
            <w:r w:rsidRPr="00CB0C27">
              <w:rPr>
                <w:sz w:val="20"/>
                <w:lang w:val="en-US"/>
              </w:rPr>
              <w:t>skladu sa godišnjim</w:t>
            </w:r>
            <w:r>
              <w:rPr>
                <w:sz w:val="20"/>
                <w:lang w:val="en-US"/>
              </w:rPr>
              <w:t xml:space="preserve"> </w:t>
            </w:r>
            <w:r w:rsidRPr="00CB0C27">
              <w:rPr>
                <w:sz w:val="20"/>
                <w:lang w:val="en-US"/>
              </w:rPr>
              <w:t>programom održavanja i nekategorisanih puteva</w:t>
            </w:r>
          </w:p>
        </w:tc>
      </w:tr>
      <w:tr w:rsidR="00CB0C27" w:rsidRPr="00881DF1" w:rsidTr="007C55B5">
        <w:tc>
          <w:tcPr>
            <w:tcW w:w="4253" w:type="dxa"/>
            <w:vMerge/>
            <w:shd w:val="clear" w:color="auto" w:fill="auto"/>
            <w:vAlign w:val="center"/>
          </w:tcPr>
          <w:p w:rsidR="00CB0C27" w:rsidRPr="00FF1FBB" w:rsidRDefault="00CB0C27" w:rsidP="008A2A6D">
            <w:pPr>
              <w:spacing w:before="60"/>
              <w:ind w:left="144"/>
              <w:jc w:val="left"/>
              <w:rPr>
                <w:b/>
                <w:sz w:val="20"/>
              </w:rPr>
            </w:pPr>
          </w:p>
        </w:tc>
        <w:tc>
          <w:tcPr>
            <w:tcW w:w="5102" w:type="dxa"/>
            <w:tcBorders>
              <w:top w:val="single" w:sz="4" w:space="0" w:color="auto"/>
              <w:bottom w:val="single" w:sz="4" w:space="0" w:color="auto"/>
            </w:tcBorders>
            <w:shd w:val="clear" w:color="auto" w:fill="auto"/>
          </w:tcPr>
          <w:p w:rsidR="00CB0C27" w:rsidRPr="00CB0C27" w:rsidRDefault="00CB0C27" w:rsidP="008A2A6D">
            <w:pPr>
              <w:spacing w:before="60"/>
              <w:ind w:left="94" w:right="203"/>
              <w:jc w:val="left"/>
              <w:rPr>
                <w:sz w:val="20"/>
                <w:lang w:val="en-US"/>
              </w:rPr>
            </w:pPr>
            <w:r w:rsidRPr="00CB0C27">
              <w:rPr>
                <w:sz w:val="20"/>
                <w:lang w:val="en-US"/>
              </w:rPr>
              <w:t>3.1.1.5. Izgradnja kružnih tokova Hidani i Omega</w:t>
            </w:r>
          </w:p>
        </w:tc>
      </w:tr>
      <w:tr w:rsidR="00CB0C27" w:rsidRPr="00881DF1" w:rsidTr="007C55B5">
        <w:tc>
          <w:tcPr>
            <w:tcW w:w="4253" w:type="dxa"/>
            <w:vMerge/>
            <w:shd w:val="clear" w:color="auto" w:fill="auto"/>
            <w:vAlign w:val="center"/>
          </w:tcPr>
          <w:p w:rsidR="00CB0C27" w:rsidRPr="00FF1FBB" w:rsidRDefault="00CB0C27" w:rsidP="008A2A6D">
            <w:pPr>
              <w:spacing w:before="60"/>
              <w:ind w:left="144"/>
              <w:jc w:val="left"/>
              <w:rPr>
                <w:b/>
                <w:sz w:val="20"/>
              </w:rPr>
            </w:pPr>
          </w:p>
        </w:tc>
        <w:tc>
          <w:tcPr>
            <w:tcW w:w="5102" w:type="dxa"/>
            <w:tcBorders>
              <w:top w:val="single" w:sz="4" w:space="0" w:color="auto"/>
              <w:bottom w:val="single" w:sz="4" w:space="0" w:color="auto"/>
            </w:tcBorders>
            <w:shd w:val="clear" w:color="auto" w:fill="auto"/>
          </w:tcPr>
          <w:p w:rsidR="00CB0C27" w:rsidRPr="00CB0C27" w:rsidRDefault="00CB0C27" w:rsidP="008A2A6D">
            <w:pPr>
              <w:spacing w:before="60"/>
              <w:ind w:left="94" w:right="203"/>
              <w:jc w:val="left"/>
              <w:rPr>
                <w:sz w:val="20"/>
                <w:lang w:val="en-US"/>
              </w:rPr>
            </w:pPr>
            <w:r w:rsidRPr="00CB0C27">
              <w:rPr>
                <w:sz w:val="20"/>
                <w:lang w:val="en-US"/>
              </w:rPr>
              <w:t>3.1.1.6. Izgradnja puta Babina Luka – Vujani</w:t>
            </w:r>
          </w:p>
        </w:tc>
      </w:tr>
      <w:tr w:rsidR="00CB0C27" w:rsidRPr="00881DF1" w:rsidTr="007C55B5">
        <w:tc>
          <w:tcPr>
            <w:tcW w:w="4253" w:type="dxa"/>
            <w:vMerge/>
            <w:shd w:val="clear" w:color="auto" w:fill="auto"/>
            <w:vAlign w:val="center"/>
          </w:tcPr>
          <w:p w:rsidR="00CB0C27" w:rsidRPr="00FF1FBB" w:rsidRDefault="00CB0C27" w:rsidP="008A2A6D">
            <w:pPr>
              <w:spacing w:before="60"/>
              <w:ind w:left="144"/>
              <w:jc w:val="left"/>
              <w:rPr>
                <w:b/>
                <w:sz w:val="20"/>
              </w:rPr>
            </w:pPr>
          </w:p>
        </w:tc>
        <w:tc>
          <w:tcPr>
            <w:tcW w:w="5102" w:type="dxa"/>
            <w:tcBorders>
              <w:top w:val="single" w:sz="4" w:space="0" w:color="auto"/>
              <w:bottom w:val="single" w:sz="4" w:space="0" w:color="auto"/>
            </w:tcBorders>
            <w:shd w:val="clear" w:color="auto" w:fill="auto"/>
          </w:tcPr>
          <w:p w:rsidR="00CB0C27" w:rsidRPr="00B72689" w:rsidRDefault="00CB0C27" w:rsidP="008A2A6D">
            <w:pPr>
              <w:spacing w:before="60"/>
              <w:ind w:left="94" w:right="203"/>
              <w:jc w:val="left"/>
              <w:rPr>
                <w:sz w:val="20"/>
                <w:szCs w:val="20"/>
                <w:lang w:val="en-US"/>
              </w:rPr>
            </w:pPr>
            <w:r w:rsidRPr="00B72689">
              <w:rPr>
                <w:sz w:val="20"/>
                <w:szCs w:val="20"/>
                <w:lang w:val="en-US"/>
              </w:rPr>
              <w:t>3.1.1.7. Izgradnja pješačkih staza uz magistralne i regionalne puteve</w:t>
            </w:r>
          </w:p>
        </w:tc>
      </w:tr>
      <w:tr w:rsidR="00881DF1" w:rsidRPr="00881DF1" w:rsidTr="007C55B5">
        <w:tc>
          <w:tcPr>
            <w:tcW w:w="4253" w:type="dxa"/>
            <w:vMerge w:val="restart"/>
            <w:shd w:val="clear" w:color="auto" w:fill="auto"/>
            <w:vAlign w:val="center"/>
          </w:tcPr>
          <w:p w:rsidR="00881DF1" w:rsidRPr="00FF1FBB" w:rsidRDefault="00E2221C" w:rsidP="008A2A6D">
            <w:pPr>
              <w:spacing w:before="60"/>
              <w:ind w:left="144"/>
              <w:jc w:val="left"/>
              <w:rPr>
                <w:b/>
                <w:sz w:val="20"/>
              </w:rPr>
            </w:pPr>
            <w:r w:rsidRPr="00FF1FBB">
              <w:rPr>
                <w:b/>
                <w:sz w:val="20"/>
              </w:rPr>
              <w:t>3.1.2. VODOSNABDIJEVANJE</w:t>
            </w:r>
          </w:p>
        </w:tc>
        <w:tc>
          <w:tcPr>
            <w:tcW w:w="5102" w:type="dxa"/>
            <w:tcBorders>
              <w:bottom w:val="single" w:sz="4" w:space="0" w:color="auto"/>
            </w:tcBorders>
            <w:shd w:val="clear" w:color="auto" w:fill="auto"/>
          </w:tcPr>
          <w:p w:rsidR="00881DF1" w:rsidRPr="00881DF1" w:rsidRDefault="00E2221C" w:rsidP="008A2A6D">
            <w:pPr>
              <w:spacing w:before="60"/>
              <w:ind w:left="94" w:right="203"/>
              <w:jc w:val="left"/>
            </w:pPr>
            <w:r w:rsidRPr="00E2221C">
              <w:rPr>
                <w:sz w:val="20"/>
                <w:lang w:val="en-US"/>
              </w:rPr>
              <w:t>3.1.2.1. Uraditi studiju / eloborat o vodosnadbjevanju</w:t>
            </w:r>
            <w:r>
              <w:rPr>
                <w:sz w:val="20"/>
                <w:lang w:val="en-US"/>
              </w:rPr>
              <w:t xml:space="preserve"> </w:t>
            </w:r>
            <w:r w:rsidRPr="00E2221C">
              <w:rPr>
                <w:sz w:val="20"/>
                <w:lang w:val="en-US"/>
              </w:rPr>
              <w:t>cijelog područja Općine Kalesija sa posebnim</w:t>
            </w:r>
            <w:r>
              <w:rPr>
                <w:sz w:val="20"/>
                <w:lang w:val="en-US"/>
              </w:rPr>
              <w:t xml:space="preserve"> akcenntom na nova izvorišta pitke vode.</w:t>
            </w:r>
          </w:p>
        </w:tc>
      </w:tr>
      <w:tr w:rsidR="00E2221C" w:rsidRPr="00881DF1" w:rsidTr="007C55B5">
        <w:tc>
          <w:tcPr>
            <w:tcW w:w="4253" w:type="dxa"/>
            <w:vMerge/>
            <w:shd w:val="clear" w:color="auto" w:fill="auto"/>
            <w:vAlign w:val="center"/>
          </w:tcPr>
          <w:p w:rsidR="00E2221C" w:rsidRDefault="00E2221C" w:rsidP="008A2A6D">
            <w:pPr>
              <w:pStyle w:val="ListParagraph"/>
              <w:numPr>
                <w:ilvl w:val="0"/>
                <w:numId w:val="0"/>
              </w:numPr>
              <w:spacing w:before="60"/>
              <w:ind w:left="144"/>
              <w:jc w:val="left"/>
              <w:rPr>
                <w:color w:val="000000"/>
                <w:sz w:val="27"/>
                <w:szCs w:val="27"/>
              </w:rPr>
            </w:pPr>
          </w:p>
        </w:tc>
        <w:tc>
          <w:tcPr>
            <w:tcW w:w="5102" w:type="dxa"/>
            <w:tcBorders>
              <w:top w:val="single" w:sz="4" w:space="0" w:color="auto"/>
              <w:bottom w:val="single" w:sz="4" w:space="0" w:color="auto"/>
            </w:tcBorders>
            <w:shd w:val="clear" w:color="auto" w:fill="auto"/>
          </w:tcPr>
          <w:p w:rsidR="00E2221C" w:rsidRPr="00E2221C" w:rsidRDefault="00E2221C" w:rsidP="008A2A6D">
            <w:pPr>
              <w:spacing w:before="60"/>
              <w:ind w:left="94" w:right="203"/>
              <w:jc w:val="left"/>
              <w:rPr>
                <w:sz w:val="20"/>
                <w:lang w:val="en-US"/>
              </w:rPr>
            </w:pPr>
            <w:r w:rsidRPr="00E2221C">
              <w:rPr>
                <w:sz w:val="20"/>
                <w:lang w:val="en-US"/>
              </w:rPr>
              <w:t>3.1.2.2. Unapređenje i automatizacija sistemaVodovodne mreže</w:t>
            </w:r>
            <w:r>
              <w:rPr>
                <w:sz w:val="20"/>
                <w:lang w:val="en-US"/>
              </w:rPr>
              <w:t xml:space="preserve"> </w:t>
            </w:r>
            <w:r w:rsidRPr="00E2221C">
              <w:rPr>
                <w:sz w:val="20"/>
                <w:lang w:val="en-US"/>
              </w:rPr>
              <w:t xml:space="preserve">(telemetrija, zonska mjerenja </w:t>
            </w:r>
            <w:r>
              <w:rPr>
                <w:sz w:val="20"/>
                <w:lang w:val="en-US"/>
              </w:rPr>
              <w:t>gubitak, daljinsko očitavanje )</w:t>
            </w:r>
          </w:p>
        </w:tc>
      </w:tr>
      <w:tr w:rsidR="00E2221C" w:rsidRPr="00881DF1" w:rsidTr="007C55B5">
        <w:tc>
          <w:tcPr>
            <w:tcW w:w="4253" w:type="dxa"/>
            <w:vMerge/>
            <w:shd w:val="clear" w:color="auto" w:fill="auto"/>
            <w:vAlign w:val="center"/>
          </w:tcPr>
          <w:p w:rsidR="00E2221C" w:rsidRDefault="00E2221C" w:rsidP="008A2A6D">
            <w:pPr>
              <w:pStyle w:val="ListParagraph"/>
              <w:numPr>
                <w:ilvl w:val="0"/>
                <w:numId w:val="0"/>
              </w:numPr>
              <w:spacing w:before="60"/>
              <w:ind w:left="144"/>
              <w:jc w:val="left"/>
              <w:rPr>
                <w:color w:val="000000"/>
                <w:sz w:val="27"/>
                <w:szCs w:val="27"/>
              </w:rPr>
            </w:pPr>
          </w:p>
        </w:tc>
        <w:tc>
          <w:tcPr>
            <w:tcW w:w="5102" w:type="dxa"/>
            <w:tcBorders>
              <w:top w:val="single" w:sz="4" w:space="0" w:color="auto"/>
              <w:bottom w:val="single" w:sz="4" w:space="0" w:color="auto"/>
            </w:tcBorders>
            <w:shd w:val="clear" w:color="auto" w:fill="auto"/>
          </w:tcPr>
          <w:p w:rsidR="00E2221C" w:rsidRPr="00E2221C" w:rsidRDefault="00E2221C" w:rsidP="008A2A6D">
            <w:pPr>
              <w:spacing w:before="60"/>
              <w:ind w:left="94" w:right="203"/>
              <w:jc w:val="left"/>
              <w:rPr>
                <w:sz w:val="20"/>
                <w:lang w:val="en-US"/>
              </w:rPr>
            </w:pPr>
            <w:r>
              <w:rPr>
                <w:sz w:val="20"/>
                <w:lang w:val="en-US"/>
              </w:rPr>
              <w:t xml:space="preserve">3.1.2.3. </w:t>
            </w:r>
            <w:r w:rsidRPr="00E2221C">
              <w:rPr>
                <w:sz w:val="20"/>
                <w:lang w:val="en-US"/>
              </w:rPr>
              <w:t>Realizacija projekta vodosnadbjevanja istočnog</w:t>
            </w:r>
            <w:r>
              <w:rPr>
                <w:sz w:val="20"/>
                <w:lang w:val="en-US"/>
              </w:rPr>
              <w:t xml:space="preserve"> </w:t>
            </w:r>
            <w:r w:rsidRPr="00E2221C">
              <w:rPr>
                <w:sz w:val="20"/>
                <w:lang w:val="en-US"/>
              </w:rPr>
              <w:t>djela opć</w:t>
            </w:r>
            <w:r w:rsidR="00353C86">
              <w:rPr>
                <w:sz w:val="20"/>
                <w:lang w:val="en-US"/>
              </w:rPr>
              <w:t xml:space="preserve">ine </w:t>
            </w:r>
            <w:r w:rsidRPr="00E2221C">
              <w:rPr>
                <w:sz w:val="20"/>
                <w:lang w:val="en-US"/>
              </w:rPr>
              <w:t>( Memići,</w:t>
            </w:r>
            <w:r w:rsidR="00BB2DE5">
              <w:rPr>
                <w:color w:val="000000"/>
                <w:sz w:val="27"/>
                <w:szCs w:val="27"/>
              </w:rPr>
              <w:t xml:space="preserve"> </w:t>
            </w:r>
            <w:r w:rsidR="00BB2DE5" w:rsidRPr="00BB2DE5">
              <w:rPr>
                <w:sz w:val="20"/>
              </w:rPr>
              <w:t>KalesijaGornja)</w:t>
            </w:r>
            <w:r w:rsidR="00BB2DE5">
              <w:rPr>
                <w:sz w:val="20"/>
              </w:rPr>
              <w:t xml:space="preserve">                                  </w:t>
            </w:r>
          </w:p>
        </w:tc>
      </w:tr>
      <w:tr w:rsidR="00BB2DE5" w:rsidRPr="00881DF1" w:rsidTr="007C55B5">
        <w:tc>
          <w:tcPr>
            <w:tcW w:w="4253" w:type="dxa"/>
            <w:vMerge/>
            <w:shd w:val="clear" w:color="auto" w:fill="auto"/>
            <w:vAlign w:val="center"/>
          </w:tcPr>
          <w:p w:rsidR="00BB2DE5" w:rsidRDefault="00BB2DE5" w:rsidP="008A2A6D">
            <w:pPr>
              <w:pStyle w:val="ListParagraph"/>
              <w:numPr>
                <w:ilvl w:val="0"/>
                <w:numId w:val="0"/>
              </w:numPr>
              <w:spacing w:before="60"/>
              <w:ind w:left="144"/>
              <w:jc w:val="left"/>
              <w:rPr>
                <w:color w:val="000000"/>
                <w:sz w:val="27"/>
                <w:szCs w:val="27"/>
              </w:rPr>
            </w:pPr>
          </w:p>
        </w:tc>
        <w:tc>
          <w:tcPr>
            <w:tcW w:w="5102" w:type="dxa"/>
            <w:tcBorders>
              <w:top w:val="single" w:sz="4" w:space="0" w:color="auto"/>
              <w:bottom w:val="single" w:sz="4" w:space="0" w:color="auto"/>
            </w:tcBorders>
            <w:shd w:val="clear" w:color="auto" w:fill="auto"/>
          </w:tcPr>
          <w:p w:rsidR="00BB2DE5" w:rsidRPr="00BB2DE5" w:rsidRDefault="00BB2DE5" w:rsidP="008A2A6D">
            <w:pPr>
              <w:spacing w:before="60"/>
              <w:ind w:left="94" w:right="203"/>
              <w:jc w:val="left"/>
              <w:rPr>
                <w:sz w:val="20"/>
                <w:lang w:val="en-US"/>
              </w:rPr>
            </w:pPr>
            <w:r w:rsidRPr="00BB2DE5">
              <w:rPr>
                <w:sz w:val="20"/>
                <w:lang w:val="en-US"/>
              </w:rPr>
              <w:t>3.1.2.4. Prošire</w:t>
            </w:r>
            <w:r w:rsidR="00AB4B94">
              <w:rPr>
                <w:sz w:val="20"/>
                <w:lang w:val="en-US"/>
              </w:rPr>
              <w:t>nje kapaciteta izvorišta Krušik</w:t>
            </w:r>
          </w:p>
        </w:tc>
      </w:tr>
      <w:tr w:rsidR="00E2221C" w:rsidRPr="00881DF1" w:rsidTr="007C55B5">
        <w:tc>
          <w:tcPr>
            <w:tcW w:w="4253" w:type="dxa"/>
            <w:vMerge/>
            <w:shd w:val="clear" w:color="auto" w:fill="auto"/>
            <w:vAlign w:val="center"/>
          </w:tcPr>
          <w:p w:rsidR="00E2221C" w:rsidRDefault="00E2221C" w:rsidP="008A2A6D">
            <w:pPr>
              <w:pStyle w:val="ListParagraph"/>
              <w:numPr>
                <w:ilvl w:val="0"/>
                <w:numId w:val="0"/>
              </w:numPr>
              <w:spacing w:before="60"/>
              <w:ind w:left="144"/>
              <w:jc w:val="left"/>
              <w:rPr>
                <w:color w:val="000000"/>
                <w:sz w:val="27"/>
                <w:szCs w:val="27"/>
              </w:rPr>
            </w:pPr>
          </w:p>
        </w:tc>
        <w:tc>
          <w:tcPr>
            <w:tcW w:w="5102" w:type="dxa"/>
            <w:tcBorders>
              <w:top w:val="single" w:sz="4" w:space="0" w:color="auto"/>
              <w:bottom w:val="single" w:sz="4" w:space="0" w:color="auto"/>
            </w:tcBorders>
            <w:shd w:val="clear" w:color="auto" w:fill="auto"/>
          </w:tcPr>
          <w:p w:rsidR="00E2221C" w:rsidRDefault="00BB2DE5" w:rsidP="008A2A6D">
            <w:pPr>
              <w:spacing w:before="60"/>
              <w:ind w:left="94" w:right="203"/>
              <w:jc w:val="left"/>
              <w:rPr>
                <w:sz w:val="20"/>
                <w:lang w:val="en-US"/>
              </w:rPr>
            </w:pPr>
            <w:r w:rsidRPr="00BB2DE5">
              <w:rPr>
                <w:sz w:val="20"/>
                <w:lang w:val="en-US"/>
              </w:rPr>
              <w:t>3.1.2.5. Proširenje kapaciteta postrojenja kondicioniranje podzemnih voda sa izvorišta Krušik</w:t>
            </w:r>
          </w:p>
        </w:tc>
      </w:tr>
      <w:tr w:rsidR="00E2221C" w:rsidRPr="00881DF1" w:rsidTr="007C55B5">
        <w:tc>
          <w:tcPr>
            <w:tcW w:w="4253" w:type="dxa"/>
            <w:vMerge/>
            <w:shd w:val="clear" w:color="auto" w:fill="auto"/>
            <w:vAlign w:val="center"/>
          </w:tcPr>
          <w:p w:rsidR="00E2221C" w:rsidRDefault="00E2221C" w:rsidP="008A2A6D">
            <w:pPr>
              <w:pStyle w:val="ListParagraph"/>
              <w:numPr>
                <w:ilvl w:val="0"/>
                <w:numId w:val="0"/>
              </w:numPr>
              <w:spacing w:before="60"/>
              <w:ind w:left="144"/>
              <w:jc w:val="left"/>
              <w:rPr>
                <w:color w:val="000000"/>
                <w:sz w:val="27"/>
                <w:szCs w:val="27"/>
              </w:rPr>
            </w:pPr>
          </w:p>
        </w:tc>
        <w:tc>
          <w:tcPr>
            <w:tcW w:w="5102" w:type="dxa"/>
            <w:tcBorders>
              <w:top w:val="single" w:sz="4" w:space="0" w:color="auto"/>
            </w:tcBorders>
            <w:shd w:val="clear" w:color="auto" w:fill="auto"/>
          </w:tcPr>
          <w:p w:rsidR="00E2221C" w:rsidRPr="00BB2DE5" w:rsidRDefault="00BB2DE5" w:rsidP="008A2A6D">
            <w:pPr>
              <w:spacing w:before="60"/>
              <w:ind w:left="94" w:right="203"/>
              <w:jc w:val="left"/>
              <w:rPr>
                <w:rFonts w:eastAsia="Times New Roman"/>
                <w:lang w:val="en-US"/>
              </w:rPr>
            </w:pPr>
            <w:r w:rsidRPr="00BB2DE5">
              <w:rPr>
                <w:sz w:val="20"/>
              </w:rPr>
              <w:t>3.1.2.6. Izrada registra</w:t>
            </w:r>
            <w:r w:rsidRPr="00BB2DE5">
              <w:rPr>
                <w:rFonts w:eastAsia="Times New Roman"/>
                <w:sz w:val="20"/>
                <w:lang w:val="en-US"/>
              </w:rPr>
              <w:t xml:space="preserve"> mjesnih, lokalnih i grupnih vodovodnih sistema</w:t>
            </w:r>
          </w:p>
        </w:tc>
      </w:tr>
      <w:tr w:rsidR="00881DF1" w:rsidRPr="00881DF1" w:rsidTr="007C55B5">
        <w:tc>
          <w:tcPr>
            <w:tcW w:w="4253" w:type="dxa"/>
            <w:vMerge/>
            <w:shd w:val="clear" w:color="auto" w:fill="auto"/>
            <w:vAlign w:val="center"/>
          </w:tcPr>
          <w:p w:rsidR="00881DF1" w:rsidRPr="00881DF1" w:rsidRDefault="00881DF1" w:rsidP="008A2A6D">
            <w:pPr>
              <w:pStyle w:val="ListParagraph"/>
              <w:spacing w:before="60"/>
              <w:ind w:left="144" w:firstLine="0"/>
              <w:jc w:val="left"/>
            </w:pPr>
          </w:p>
        </w:tc>
        <w:tc>
          <w:tcPr>
            <w:tcW w:w="5102" w:type="dxa"/>
            <w:shd w:val="clear" w:color="auto" w:fill="auto"/>
          </w:tcPr>
          <w:p w:rsidR="00881DF1" w:rsidRPr="00BB2DE5" w:rsidRDefault="00BB2DE5" w:rsidP="008A2A6D">
            <w:pPr>
              <w:spacing w:before="60"/>
              <w:ind w:left="94" w:right="203"/>
              <w:jc w:val="left"/>
              <w:rPr>
                <w:sz w:val="20"/>
                <w:lang w:val="en-US"/>
              </w:rPr>
            </w:pPr>
            <w:r w:rsidRPr="00BB2DE5">
              <w:rPr>
                <w:sz w:val="20"/>
                <w:lang w:val="en-US"/>
              </w:rPr>
              <w:t>3.1.2.7. Izgradnja i rekonstrukcija gradskih i mjesnih vodovoda</w:t>
            </w:r>
          </w:p>
        </w:tc>
      </w:tr>
      <w:tr w:rsidR="003F11AA" w:rsidRPr="00881DF1" w:rsidTr="007C55B5">
        <w:tc>
          <w:tcPr>
            <w:tcW w:w="4253" w:type="dxa"/>
            <w:vMerge w:val="restart"/>
            <w:shd w:val="clear" w:color="auto" w:fill="auto"/>
            <w:vAlign w:val="center"/>
          </w:tcPr>
          <w:p w:rsidR="003F11AA" w:rsidRPr="00FF1FBB" w:rsidRDefault="003F11AA" w:rsidP="008A2A6D">
            <w:pPr>
              <w:spacing w:before="60"/>
              <w:ind w:left="144"/>
              <w:jc w:val="left"/>
              <w:rPr>
                <w:b/>
                <w:color w:val="000000"/>
                <w:sz w:val="20"/>
                <w:szCs w:val="27"/>
              </w:rPr>
            </w:pPr>
            <w:r w:rsidRPr="00FF1FBB">
              <w:rPr>
                <w:b/>
                <w:color w:val="000000"/>
                <w:sz w:val="20"/>
                <w:szCs w:val="27"/>
              </w:rPr>
              <w:t>3.1.3 UPRAVLJANJE KOMUNALNIM OTPADOM</w:t>
            </w:r>
          </w:p>
          <w:p w:rsidR="003F11AA" w:rsidRPr="00FF1FBB" w:rsidRDefault="003F11AA" w:rsidP="008A2A6D">
            <w:pPr>
              <w:spacing w:before="60"/>
              <w:ind w:left="144"/>
              <w:jc w:val="left"/>
              <w:rPr>
                <w:sz w:val="20"/>
              </w:rPr>
            </w:pPr>
          </w:p>
        </w:tc>
        <w:tc>
          <w:tcPr>
            <w:tcW w:w="5102" w:type="dxa"/>
            <w:shd w:val="clear" w:color="auto" w:fill="auto"/>
          </w:tcPr>
          <w:p w:rsidR="003F11AA" w:rsidRPr="003F11AA" w:rsidRDefault="003F11AA" w:rsidP="008A2A6D">
            <w:pPr>
              <w:spacing w:before="60"/>
              <w:ind w:left="94" w:right="203"/>
              <w:jc w:val="left"/>
              <w:rPr>
                <w:lang w:val="en-US"/>
              </w:rPr>
            </w:pPr>
            <w:r w:rsidRPr="003F11AA">
              <w:rPr>
                <w:sz w:val="20"/>
                <w:lang w:val="en-US"/>
              </w:rPr>
              <w:t>3.1.3.1. Izrada plana</w:t>
            </w:r>
            <w:r>
              <w:rPr>
                <w:sz w:val="20"/>
                <w:lang w:val="en-US"/>
              </w:rPr>
              <w:t xml:space="preserve"> </w:t>
            </w:r>
            <w:r w:rsidRPr="003F11AA">
              <w:rPr>
                <w:sz w:val="20"/>
                <w:lang w:val="en-US"/>
              </w:rPr>
              <w:t>upravljanja otpadom</w:t>
            </w:r>
          </w:p>
        </w:tc>
      </w:tr>
      <w:tr w:rsidR="003F11AA" w:rsidRPr="00881DF1" w:rsidTr="007C55B5">
        <w:tc>
          <w:tcPr>
            <w:tcW w:w="4253" w:type="dxa"/>
            <w:vMerge/>
            <w:shd w:val="clear" w:color="auto" w:fill="auto"/>
            <w:vAlign w:val="center"/>
          </w:tcPr>
          <w:p w:rsidR="003F11AA" w:rsidRPr="00FF1FBB" w:rsidRDefault="003F11AA" w:rsidP="008A2A6D">
            <w:pPr>
              <w:pStyle w:val="ListParagraph"/>
              <w:spacing w:before="60"/>
              <w:ind w:left="144" w:firstLine="0"/>
              <w:jc w:val="left"/>
              <w:rPr>
                <w:sz w:val="20"/>
              </w:rPr>
            </w:pPr>
          </w:p>
        </w:tc>
        <w:tc>
          <w:tcPr>
            <w:tcW w:w="5102" w:type="dxa"/>
            <w:shd w:val="clear" w:color="auto" w:fill="auto"/>
          </w:tcPr>
          <w:p w:rsidR="003F11AA" w:rsidRPr="003F11AA" w:rsidRDefault="003F11AA" w:rsidP="008A2A6D">
            <w:pPr>
              <w:spacing w:before="60"/>
              <w:ind w:left="94" w:right="203"/>
              <w:jc w:val="left"/>
              <w:rPr>
                <w:sz w:val="20"/>
                <w:lang w:val="en-US"/>
              </w:rPr>
            </w:pPr>
            <w:r w:rsidRPr="003F11AA">
              <w:rPr>
                <w:sz w:val="20"/>
                <w:lang w:val="en-US"/>
              </w:rPr>
              <w:t>3.1.3.2. Realizacija projekta sanacije i zatvaranja lokalne deponije Vis</w:t>
            </w:r>
          </w:p>
        </w:tc>
      </w:tr>
      <w:tr w:rsidR="003F11AA" w:rsidRPr="00881DF1" w:rsidTr="007C55B5">
        <w:tc>
          <w:tcPr>
            <w:tcW w:w="4253" w:type="dxa"/>
            <w:vMerge/>
            <w:shd w:val="clear" w:color="auto" w:fill="auto"/>
            <w:vAlign w:val="center"/>
          </w:tcPr>
          <w:p w:rsidR="003F11AA" w:rsidRPr="00FF1FBB" w:rsidRDefault="003F11AA" w:rsidP="008A2A6D">
            <w:pPr>
              <w:pStyle w:val="ListParagraph"/>
              <w:spacing w:before="60"/>
              <w:ind w:left="144" w:firstLine="0"/>
              <w:jc w:val="left"/>
              <w:rPr>
                <w:sz w:val="20"/>
              </w:rPr>
            </w:pPr>
          </w:p>
        </w:tc>
        <w:tc>
          <w:tcPr>
            <w:tcW w:w="5102" w:type="dxa"/>
            <w:tcBorders>
              <w:bottom w:val="single" w:sz="4" w:space="0" w:color="auto"/>
            </w:tcBorders>
            <w:shd w:val="clear" w:color="auto" w:fill="auto"/>
          </w:tcPr>
          <w:p w:rsidR="003F11AA" w:rsidRPr="00881DF1" w:rsidRDefault="003F11AA" w:rsidP="008A2A6D">
            <w:pPr>
              <w:spacing w:before="60"/>
              <w:ind w:left="94" w:right="203"/>
              <w:jc w:val="left"/>
            </w:pPr>
            <w:r w:rsidRPr="003F11AA">
              <w:rPr>
                <w:sz w:val="20"/>
                <w:lang w:val="en-US"/>
              </w:rPr>
              <w:t>3.1.3.3. Proširenje sistema</w:t>
            </w:r>
            <w:r>
              <w:rPr>
                <w:sz w:val="20"/>
                <w:lang w:val="en-US"/>
              </w:rPr>
              <w:t xml:space="preserve"> </w:t>
            </w:r>
            <w:r w:rsidRPr="003F11AA">
              <w:rPr>
                <w:sz w:val="20"/>
                <w:lang w:val="en-US"/>
              </w:rPr>
              <w:t>organizovanog odvoza otpada</w:t>
            </w:r>
          </w:p>
        </w:tc>
      </w:tr>
      <w:tr w:rsidR="003F11AA" w:rsidRPr="00881DF1" w:rsidTr="007C55B5">
        <w:tc>
          <w:tcPr>
            <w:tcW w:w="4253" w:type="dxa"/>
            <w:vMerge/>
            <w:shd w:val="clear" w:color="auto" w:fill="auto"/>
            <w:vAlign w:val="center"/>
          </w:tcPr>
          <w:p w:rsidR="003F11AA" w:rsidRPr="00FF1FBB" w:rsidRDefault="003F11AA" w:rsidP="008A2A6D">
            <w:pPr>
              <w:pStyle w:val="ListParagraph"/>
              <w:spacing w:before="60"/>
              <w:ind w:left="144" w:firstLine="0"/>
              <w:jc w:val="left"/>
              <w:rPr>
                <w:sz w:val="20"/>
              </w:rPr>
            </w:pPr>
          </w:p>
        </w:tc>
        <w:tc>
          <w:tcPr>
            <w:tcW w:w="5102" w:type="dxa"/>
            <w:tcBorders>
              <w:top w:val="single" w:sz="4" w:space="0" w:color="auto"/>
              <w:bottom w:val="single" w:sz="4" w:space="0" w:color="auto"/>
            </w:tcBorders>
            <w:shd w:val="clear" w:color="auto" w:fill="auto"/>
          </w:tcPr>
          <w:p w:rsidR="003F11AA" w:rsidRPr="003F11AA" w:rsidRDefault="003F11AA" w:rsidP="008A2A6D">
            <w:pPr>
              <w:spacing w:before="60"/>
              <w:ind w:left="94" w:right="203"/>
              <w:jc w:val="left"/>
              <w:rPr>
                <w:sz w:val="20"/>
                <w:lang w:val="en-US"/>
              </w:rPr>
            </w:pPr>
            <w:r w:rsidRPr="003F11AA">
              <w:rPr>
                <w:sz w:val="20"/>
                <w:lang w:val="en-US"/>
              </w:rPr>
              <w:t>3.1.3.4. Izgradnja zelenih otoka za primarnu selekciju otpada i edukacija građana</w:t>
            </w:r>
          </w:p>
        </w:tc>
      </w:tr>
      <w:tr w:rsidR="003F11AA" w:rsidRPr="00881DF1" w:rsidTr="007C55B5">
        <w:tc>
          <w:tcPr>
            <w:tcW w:w="4253" w:type="dxa"/>
            <w:vMerge/>
            <w:shd w:val="clear" w:color="auto" w:fill="auto"/>
            <w:vAlign w:val="center"/>
          </w:tcPr>
          <w:p w:rsidR="003F11AA" w:rsidRPr="00FF1FBB" w:rsidRDefault="003F11AA" w:rsidP="008A2A6D">
            <w:pPr>
              <w:pStyle w:val="ListParagraph"/>
              <w:spacing w:before="60"/>
              <w:ind w:left="144" w:firstLine="0"/>
              <w:jc w:val="left"/>
              <w:rPr>
                <w:sz w:val="20"/>
              </w:rPr>
            </w:pPr>
          </w:p>
        </w:tc>
        <w:tc>
          <w:tcPr>
            <w:tcW w:w="5102" w:type="dxa"/>
            <w:tcBorders>
              <w:top w:val="single" w:sz="4" w:space="0" w:color="auto"/>
            </w:tcBorders>
            <w:shd w:val="clear" w:color="auto" w:fill="auto"/>
          </w:tcPr>
          <w:p w:rsidR="003F11AA" w:rsidRPr="00A34550" w:rsidRDefault="003F11AA" w:rsidP="008A2A6D">
            <w:pPr>
              <w:spacing w:before="60"/>
              <w:ind w:left="94" w:right="203"/>
              <w:jc w:val="left"/>
              <w:rPr>
                <w:rFonts w:eastAsia="Times New Roman"/>
                <w:sz w:val="20"/>
                <w:lang w:val="en-US"/>
              </w:rPr>
            </w:pPr>
            <w:r w:rsidRPr="00A34550">
              <w:rPr>
                <w:sz w:val="16"/>
                <w:lang w:val="en-US"/>
              </w:rPr>
              <w:t xml:space="preserve"> </w:t>
            </w:r>
            <w:r w:rsidR="00A34550" w:rsidRPr="00A34550">
              <w:rPr>
                <w:sz w:val="20"/>
              </w:rPr>
              <w:t>3.1.3.5. Materijalno-</w:t>
            </w:r>
            <w:r w:rsidR="00A34550" w:rsidRPr="00A34550">
              <w:rPr>
                <w:rFonts w:eastAsia="Times New Roman"/>
                <w:sz w:val="20"/>
                <w:lang w:val="en-US"/>
              </w:rPr>
              <w:t xml:space="preserve"> tehničko jačanje komunalnog preduzeća</w:t>
            </w:r>
          </w:p>
        </w:tc>
      </w:tr>
      <w:tr w:rsidR="00881DF1" w:rsidRPr="00881DF1" w:rsidTr="007C55B5">
        <w:tc>
          <w:tcPr>
            <w:tcW w:w="4253" w:type="dxa"/>
            <w:vMerge w:val="restart"/>
            <w:shd w:val="clear" w:color="auto" w:fill="auto"/>
            <w:vAlign w:val="center"/>
          </w:tcPr>
          <w:p w:rsidR="00881DF1" w:rsidRPr="00FF1FBB" w:rsidRDefault="00A34550" w:rsidP="008A2A6D">
            <w:pPr>
              <w:pStyle w:val="ListParagraph"/>
              <w:numPr>
                <w:ilvl w:val="0"/>
                <w:numId w:val="0"/>
              </w:numPr>
              <w:spacing w:before="60"/>
              <w:ind w:left="144"/>
              <w:jc w:val="left"/>
              <w:rPr>
                <w:b/>
                <w:color w:val="000000"/>
                <w:sz w:val="20"/>
                <w:szCs w:val="27"/>
              </w:rPr>
            </w:pPr>
            <w:r w:rsidRPr="00FF1FBB">
              <w:rPr>
                <w:b/>
                <w:color w:val="000000"/>
                <w:sz w:val="20"/>
                <w:szCs w:val="27"/>
              </w:rPr>
              <w:t>3.1.4. KANALIZACIONA INFRASTRUKTURA</w:t>
            </w:r>
          </w:p>
          <w:p w:rsidR="00A34550" w:rsidRPr="00FF1FBB" w:rsidRDefault="00A34550" w:rsidP="008A2A6D">
            <w:pPr>
              <w:pStyle w:val="ListParagraph"/>
              <w:numPr>
                <w:ilvl w:val="0"/>
                <w:numId w:val="0"/>
              </w:numPr>
              <w:spacing w:before="60"/>
              <w:ind w:left="144"/>
              <w:jc w:val="left"/>
              <w:rPr>
                <w:sz w:val="20"/>
              </w:rPr>
            </w:pPr>
          </w:p>
        </w:tc>
        <w:tc>
          <w:tcPr>
            <w:tcW w:w="5102" w:type="dxa"/>
            <w:tcBorders>
              <w:bottom w:val="single" w:sz="4" w:space="0" w:color="auto"/>
            </w:tcBorders>
            <w:shd w:val="clear" w:color="auto" w:fill="auto"/>
          </w:tcPr>
          <w:p w:rsidR="00881DF1" w:rsidRPr="00A34550" w:rsidRDefault="00A34550" w:rsidP="008A2A6D">
            <w:pPr>
              <w:spacing w:before="60"/>
              <w:ind w:left="94" w:right="203"/>
              <w:jc w:val="left"/>
              <w:rPr>
                <w:sz w:val="20"/>
              </w:rPr>
            </w:pPr>
            <w:r w:rsidRPr="00A34550">
              <w:rPr>
                <w:sz w:val="20"/>
                <w:lang w:val="en-US"/>
              </w:rPr>
              <w:t>3.1.4.1. Izrada projektne dokumentacije za izgradnju uređaja za prečišćavanje</w:t>
            </w:r>
          </w:p>
        </w:tc>
      </w:tr>
      <w:tr w:rsidR="00AB4B94" w:rsidRPr="00881DF1" w:rsidTr="007C55B5">
        <w:tc>
          <w:tcPr>
            <w:tcW w:w="4253" w:type="dxa"/>
            <w:vMerge/>
            <w:shd w:val="clear" w:color="auto" w:fill="auto"/>
            <w:vAlign w:val="center"/>
          </w:tcPr>
          <w:p w:rsidR="00AB4B94" w:rsidRPr="00FF1FBB" w:rsidRDefault="00AB4B94" w:rsidP="008A2A6D">
            <w:pPr>
              <w:pStyle w:val="ListParagraph"/>
              <w:numPr>
                <w:ilvl w:val="0"/>
                <w:numId w:val="0"/>
              </w:numPr>
              <w:spacing w:before="60"/>
              <w:ind w:left="144"/>
              <w:jc w:val="left"/>
              <w:rPr>
                <w:b/>
                <w:color w:val="000000"/>
                <w:sz w:val="20"/>
                <w:szCs w:val="27"/>
              </w:rPr>
            </w:pPr>
          </w:p>
        </w:tc>
        <w:tc>
          <w:tcPr>
            <w:tcW w:w="5102" w:type="dxa"/>
            <w:tcBorders>
              <w:bottom w:val="single" w:sz="4" w:space="0" w:color="auto"/>
            </w:tcBorders>
            <w:shd w:val="clear" w:color="auto" w:fill="auto"/>
          </w:tcPr>
          <w:p w:rsidR="00AB4B94" w:rsidRPr="00A34550" w:rsidRDefault="00AB4B94" w:rsidP="008A2A6D">
            <w:pPr>
              <w:spacing w:before="60"/>
              <w:ind w:left="94" w:right="203"/>
              <w:jc w:val="left"/>
              <w:rPr>
                <w:sz w:val="20"/>
                <w:lang w:val="en-US"/>
              </w:rPr>
            </w:pPr>
            <w:r w:rsidRPr="00A34550">
              <w:rPr>
                <w:sz w:val="20"/>
                <w:lang w:val="en-US"/>
              </w:rPr>
              <w:t>3.1.4.2. Izrada projektne dokumentacije za sekundarnu fekalnu kanalizacionu mrežu za cijelo područje općine Kalesija</w:t>
            </w:r>
          </w:p>
        </w:tc>
      </w:tr>
      <w:tr w:rsidR="00A34550" w:rsidRPr="00881DF1" w:rsidTr="007C55B5">
        <w:tc>
          <w:tcPr>
            <w:tcW w:w="4253" w:type="dxa"/>
            <w:vMerge/>
            <w:shd w:val="clear" w:color="auto" w:fill="auto"/>
            <w:vAlign w:val="center"/>
          </w:tcPr>
          <w:p w:rsidR="00A34550" w:rsidRPr="00FF1FBB" w:rsidRDefault="00A34550" w:rsidP="008A2A6D">
            <w:pPr>
              <w:pStyle w:val="ListParagraph"/>
              <w:numPr>
                <w:ilvl w:val="0"/>
                <w:numId w:val="0"/>
              </w:numPr>
              <w:spacing w:before="60"/>
              <w:ind w:left="144"/>
              <w:jc w:val="left"/>
              <w:rPr>
                <w:b/>
                <w:color w:val="000000"/>
                <w:sz w:val="20"/>
                <w:szCs w:val="27"/>
              </w:rPr>
            </w:pPr>
          </w:p>
        </w:tc>
        <w:tc>
          <w:tcPr>
            <w:tcW w:w="5102" w:type="dxa"/>
            <w:tcBorders>
              <w:top w:val="single" w:sz="4" w:space="0" w:color="auto"/>
              <w:bottom w:val="single" w:sz="4" w:space="0" w:color="auto"/>
            </w:tcBorders>
            <w:shd w:val="clear" w:color="auto" w:fill="auto"/>
          </w:tcPr>
          <w:p w:rsidR="00A34550" w:rsidRPr="00A34550" w:rsidRDefault="00A34550" w:rsidP="008A2A6D">
            <w:pPr>
              <w:spacing w:before="60"/>
              <w:ind w:left="94" w:right="203"/>
              <w:jc w:val="left"/>
              <w:rPr>
                <w:sz w:val="20"/>
                <w:lang w:val="en-US"/>
              </w:rPr>
            </w:pPr>
            <w:r w:rsidRPr="00A34550">
              <w:rPr>
                <w:sz w:val="20"/>
                <w:lang w:val="en-US"/>
              </w:rPr>
              <w:t>3.1.4.3. Izrada uređaja za prečišćavanje za: Kalesiju, Prnjavor, Miljanovci Dubnica-Mahmutovići</w:t>
            </w:r>
          </w:p>
        </w:tc>
      </w:tr>
      <w:tr w:rsidR="00A34550" w:rsidRPr="00881DF1" w:rsidTr="007C55B5">
        <w:tc>
          <w:tcPr>
            <w:tcW w:w="4253" w:type="dxa"/>
            <w:vMerge/>
            <w:shd w:val="clear" w:color="auto" w:fill="auto"/>
            <w:vAlign w:val="center"/>
          </w:tcPr>
          <w:p w:rsidR="00A34550" w:rsidRPr="00FF1FBB" w:rsidRDefault="00A34550" w:rsidP="008A2A6D">
            <w:pPr>
              <w:pStyle w:val="ListParagraph"/>
              <w:numPr>
                <w:ilvl w:val="0"/>
                <w:numId w:val="0"/>
              </w:numPr>
              <w:spacing w:before="60"/>
              <w:ind w:left="144"/>
              <w:jc w:val="left"/>
              <w:rPr>
                <w:b/>
                <w:color w:val="000000"/>
                <w:sz w:val="20"/>
                <w:szCs w:val="27"/>
              </w:rPr>
            </w:pPr>
          </w:p>
        </w:tc>
        <w:tc>
          <w:tcPr>
            <w:tcW w:w="5102" w:type="dxa"/>
            <w:tcBorders>
              <w:top w:val="single" w:sz="4" w:space="0" w:color="auto"/>
              <w:bottom w:val="single" w:sz="4" w:space="0" w:color="auto"/>
            </w:tcBorders>
            <w:shd w:val="clear" w:color="auto" w:fill="auto"/>
          </w:tcPr>
          <w:p w:rsidR="00A34550" w:rsidRPr="00A34550" w:rsidRDefault="00A34550" w:rsidP="008A2A6D">
            <w:pPr>
              <w:spacing w:before="60"/>
              <w:ind w:left="94" w:right="203" w:hanging="5"/>
              <w:jc w:val="left"/>
              <w:rPr>
                <w:sz w:val="20"/>
                <w:lang w:val="en-US"/>
              </w:rPr>
            </w:pPr>
            <w:r w:rsidRPr="00A34550">
              <w:rPr>
                <w:sz w:val="20"/>
                <w:lang w:val="en-US"/>
              </w:rPr>
              <w:t>3.1.4.4. Izgradnja primarnih kolektora fekalne kanalizacije za: Kalesija, Prnjavor, Miljanovci, Dubnica Mahmutovići</w:t>
            </w:r>
          </w:p>
        </w:tc>
      </w:tr>
      <w:tr w:rsidR="00A34550" w:rsidRPr="00881DF1" w:rsidTr="007C55B5">
        <w:tc>
          <w:tcPr>
            <w:tcW w:w="4253" w:type="dxa"/>
            <w:vMerge/>
            <w:shd w:val="clear" w:color="auto" w:fill="auto"/>
            <w:vAlign w:val="center"/>
          </w:tcPr>
          <w:p w:rsidR="00A34550" w:rsidRPr="00FF1FBB" w:rsidRDefault="00A34550" w:rsidP="008A2A6D">
            <w:pPr>
              <w:pStyle w:val="ListParagraph"/>
              <w:numPr>
                <w:ilvl w:val="0"/>
                <w:numId w:val="0"/>
              </w:numPr>
              <w:spacing w:before="60"/>
              <w:ind w:left="144"/>
              <w:jc w:val="left"/>
              <w:rPr>
                <w:b/>
                <w:color w:val="000000"/>
                <w:sz w:val="20"/>
                <w:szCs w:val="27"/>
              </w:rPr>
            </w:pPr>
          </w:p>
        </w:tc>
        <w:tc>
          <w:tcPr>
            <w:tcW w:w="5102" w:type="dxa"/>
            <w:tcBorders>
              <w:top w:val="single" w:sz="4" w:space="0" w:color="auto"/>
            </w:tcBorders>
            <w:shd w:val="clear" w:color="auto" w:fill="auto"/>
          </w:tcPr>
          <w:p w:rsidR="00A34550" w:rsidRPr="00A34550" w:rsidRDefault="00A34550" w:rsidP="008A2A6D">
            <w:pPr>
              <w:spacing w:before="60"/>
              <w:ind w:left="94" w:right="203" w:hanging="5"/>
              <w:jc w:val="left"/>
              <w:rPr>
                <w:sz w:val="20"/>
                <w:lang w:val="en-US"/>
              </w:rPr>
            </w:pPr>
            <w:r w:rsidRPr="00D331D3">
              <w:rPr>
                <w:sz w:val="20"/>
                <w:lang w:val="en-US"/>
              </w:rPr>
              <w:t xml:space="preserve"> 3.1.4.5. Izgradnja primarnih</w:t>
            </w:r>
            <w:r w:rsidR="00D331D3" w:rsidRPr="00D331D3">
              <w:rPr>
                <w:sz w:val="20"/>
                <w:lang w:val="en-US"/>
              </w:rPr>
              <w:t xml:space="preserve"> kolektora fekalne kanalizacijeza: Vukovije </w:t>
            </w:r>
            <w:r w:rsidR="00D331D3">
              <w:rPr>
                <w:sz w:val="20"/>
                <w:lang w:val="en-US"/>
              </w:rPr>
              <w:t xml:space="preserve">Gornje, Tojšići, Kikači </w:t>
            </w:r>
            <w:r w:rsidR="00D331D3" w:rsidRPr="00D331D3">
              <w:rPr>
                <w:sz w:val="20"/>
                <w:lang w:val="en-US"/>
              </w:rPr>
              <w:t>Hrasno Donje</w:t>
            </w:r>
          </w:p>
        </w:tc>
      </w:tr>
      <w:tr w:rsidR="00D331D3" w:rsidRPr="00D331D3" w:rsidTr="007C55B5">
        <w:tc>
          <w:tcPr>
            <w:tcW w:w="4253" w:type="dxa"/>
            <w:vMerge w:val="restart"/>
            <w:shd w:val="clear" w:color="auto" w:fill="auto"/>
            <w:vAlign w:val="center"/>
          </w:tcPr>
          <w:p w:rsidR="00D331D3" w:rsidRPr="00FF1FBB" w:rsidRDefault="00D331D3" w:rsidP="008A2A6D">
            <w:pPr>
              <w:pStyle w:val="ListParagraph"/>
              <w:numPr>
                <w:ilvl w:val="0"/>
                <w:numId w:val="0"/>
              </w:numPr>
              <w:spacing w:before="60"/>
              <w:ind w:left="144"/>
              <w:jc w:val="left"/>
              <w:rPr>
                <w:b/>
                <w:sz w:val="20"/>
              </w:rPr>
            </w:pPr>
            <w:r w:rsidRPr="00FF1FBB">
              <w:rPr>
                <w:b/>
                <w:color w:val="000000"/>
                <w:sz w:val="20"/>
                <w:szCs w:val="27"/>
              </w:rPr>
              <w:t>3.2.1. PROVOĐENJE MJERA ENERGESKE EFIKASNOSTI U ZGRADARSTVU</w:t>
            </w:r>
          </w:p>
        </w:tc>
        <w:tc>
          <w:tcPr>
            <w:tcW w:w="5102" w:type="dxa"/>
            <w:tcBorders>
              <w:bottom w:val="single" w:sz="4" w:space="0" w:color="auto"/>
            </w:tcBorders>
            <w:shd w:val="clear" w:color="auto" w:fill="auto"/>
          </w:tcPr>
          <w:p w:rsidR="00D331D3" w:rsidRPr="00D331D3" w:rsidRDefault="00AB4B94" w:rsidP="008A2A6D">
            <w:pPr>
              <w:spacing w:before="60"/>
              <w:ind w:left="94" w:right="203" w:hanging="5"/>
              <w:jc w:val="left"/>
              <w:rPr>
                <w:b/>
              </w:rPr>
            </w:pPr>
            <w:r>
              <w:rPr>
                <w:sz w:val="20"/>
                <w:lang w:val="en-US"/>
              </w:rPr>
              <w:t>3.</w:t>
            </w:r>
            <w:r w:rsidR="00D331D3" w:rsidRPr="00D331D3">
              <w:rPr>
                <w:sz w:val="20"/>
                <w:lang w:val="en-US"/>
              </w:rPr>
              <w:t>2.1.1. Utopljavanje zgrade„Bijeljinka“</w:t>
            </w:r>
          </w:p>
        </w:tc>
      </w:tr>
      <w:tr w:rsidR="00D331D3" w:rsidRPr="00D331D3" w:rsidTr="007C55B5">
        <w:tc>
          <w:tcPr>
            <w:tcW w:w="4253" w:type="dxa"/>
            <w:vMerge/>
            <w:shd w:val="clear" w:color="auto" w:fill="auto"/>
            <w:vAlign w:val="center"/>
          </w:tcPr>
          <w:p w:rsidR="00D331D3" w:rsidRPr="00FF1FBB" w:rsidRDefault="00D331D3" w:rsidP="008A2A6D">
            <w:pPr>
              <w:pStyle w:val="ListParagraph"/>
              <w:numPr>
                <w:ilvl w:val="0"/>
                <w:numId w:val="0"/>
              </w:numPr>
              <w:spacing w:before="60"/>
              <w:ind w:left="144"/>
              <w:jc w:val="left"/>
              <w:rPr>
                <w:b/>
                <w:color w:val="000000"/>
                <w:sz w:val="20"/>
                <w:szCs w:val="27"/>
              </w:rPr>
            </w:pPr>
          </w:p>
        </w:tc>
        <w:tc>
          <w:tcPr>
            <w:tcW w:w="5102" w:type="dxa"/>
            <w:tcBorders>
              <w:top w:val="single" w:sz="4" w:space="0" w:color="auto"/>
              <w:bottom w:val="single" w:sz="4" w:space="0" w:color="auto"/>
            </w:tcBorders>
            <w:shd w:val="clear" w:color="auto" w:fill="auto"/>
          </w:tcPr>
          <w:p w:rsidR="00D331D3" w:rsidRPr="00D331D3" w:rsidRDefault="00D331D3" w:rsidP="008A2A6D">
            <w:pPr>
              <w:spacing w:before="60"/>
              <w:ind w:left="94" w:right="203" w:hanging="5"/>
              <w:jc w:val="left"/>
              <w:rPr>
                <w:sz w:val="20"/>
                <w:lang w:val="en-US"/>
              </w:rPr>
            </w:pPr>
            <w:r w:rsidRPr="00D331D3">
              <w:rPr>
                <w:sz w:val="20"/>
                <w:lang w:val="en-US"/>
              </w:rPr>
              <w:t>3.2.1.2. Utopljavanje zgrade„Minimarket”</w:t>
            </w:r>
          </w:p>
        </w:tc>
      </w:tr>
      <w:tr w:rsidR="00D331D3" w:rsidRPr="00D331D3" w:rsidTr="007C55B5">
        <w:tc>
          <w:tcPr>
            <w:tcW w:w="4253" w:type="dxa"/>
            <w:vMerge/>
            <w:shd w:val="clear" w:color="auto" w:fill="auto"/>
            <w:vAlign w:val="center"/>
          </w:tcPr>
          <w:p w:rsidR="00D331D3" w:rsidRPr="00FF1FBB" w:rsidRDefault="00D331D3" w:rsidP="008A2A6D">
            <w:pPr>
              <w:pStyle w:val="ListParagraph"/>
              <w:numPr>
                <w:ilvl w:val="0"/>
                <w:numId w:val="0"/>
              </w:numPr>
              <w:spacing w:before="60"/>
              <w:ind w:left="144"/>
              <w:jc w:val="left"/>
              <w:rPr>
                <w:b/>
                <w:color w:val="000000"/>
                <w:sz w:val="20"/>
                <w:szCs w:val="27"/>
              </w:rPr>
            </w:pPr>
          </w:p>
        </w:tc>
        <w:tc>
          <w:tcPr>
            <w:tcW w:w="5102" w:type="dxa"/>
            <w:tcBorders>
              <w:top w:val="single" w:sz="4" w:space="0" w:color="auto"/>
              <w:bottom w:val="single" w:sz="4" w:space="0" w:color="auto"/>
            </w:tcBorders>
            <w:shd w:val="clear" w:color="auto" w:fill="auto"/>
          </w:tcPr>
          <w:p w:rsidR="00D331D3" w:rsidRPr="00D331D3" w:rsidRDefault="00D331D3" w:rsidP="008A2A6D">
            <w:pPr>
              <w:spacing w:before="60"/>
              <w:ind w:left="94" w:right="203" w:hanging="5"/>
              <w:jc w:val="left"/>
              <w:rPr>
                <w:sz w:val="20"/>
                <w:lang w:val="en-US"/>
              </w:rPr>
            </w:pPr>
            <w:r w:rsidRPr="00D331D3">
              <w:rPr>
                <w:sz w:val="20"/>
                <w:lang w:val="en-US"/>
              </w:rPr>
              <w:t>3.2.1.3. Utopljavanje zgrade„Tuzlanka”</w:t>
            </w:r>
          </w:p>
        </w:tc>
      </w:tr>
      <w:tr w:rsidR="00D331D3" w:rsidRPr="00D331D3" w:rsidTr="007C55B5">
        <w:tc>
          <w:tcPr>
            <w:tcW w:w="4253" w:type="dxa"/>
            <w:vMerge/>
            <w:shd w:val="clear" w:color="auto" w:fill="auto"/>
            <w:vAlign w:val="center"/>
          </w:tcPr>
          <w:p w:rsidR="00D331D3" w:rsidRPr="00FF1FBB" w:rsidRDefault="00D331D3" w:rsidP="008A2A6D">
            <w:pPr>
              <w:pStyle w:val="ListParagraph"/>
              <w:numPr>
                <w:ilvl w:val="0"/>
                <w:numId w:val="0"/>
              </w:numPr>
              <w:spacing w:before="60"/>
              <w:ind w:left="144"/>
              <w:jc w:val="left"/>
              <w:rPr>
                <w:b/>
                <w:color w:val="000000"/>
                <w:sz w:val="20"/>
                <w:szCs w:val="27"/>
              </w:rPr>
            </w:pPr>
          </w:p>
        </w:tc>
        <w:tc>
          <w:tcPr>
            <w:tcW w:w="5102" w:type="dxa"/>
            <w:tcBorders>
              <w:top w:val="single" w:sz="4" w:space="0" w:color="auto"/>
              <w:bottom w:val="single" w:sz="4" w:space="0" w:color="auto"/>
            </w:tcBorders>
            <w:shd w:val="clear" w:color="auto" w:fill="auto"/>
          </w:tcPr>
          <w:p w:rsidR="00D331D3" w:rsidRPr="00D331D3" w:rsidRDefault="00D331D3" w:rsidP="008A2A6D">
            <w:pPr>
              <w:spacing w:before="60"/>
              <w:ind w:left="94" w:right="203" w:hanging="5"/>
              <w:jc w:val="left"/>
              <w:rPr>
                <w:sz w:val="20"/>
                <w:lang w:val="en-US"/>
              </w:rPr>
            </w:pPr>
            <w:r w:rsidRPr="00D331D3">
              <w:rPr>
                <w:sz w:val="20"/>
                <w:lang w:val="en-US"/>
              </w:rPr>
              <w:t>3.2.1.4. Utopljavanje zgrade„Sprečanka”</w:t>
            </w:r>
          </w:p>
        </w:tc>
      </w:tr>
      <w:tr w:rsidR="00D331D3" w:rsidRPr="00D331D3" w:rsidTr="007C55B5">
        <w:tc>
          <w:tcPr>
            <w:tcW w:w="4253" w:type="dxa"/>
            <w:vMerge/>
            <w:shd w:val="clear" w:color="auto" w:fill="auto"/>
            <w:vAlign w:val="center"/>
          </w:tcPr>
          <w:p w:rsidR="00D331D3" w:rsidRPr="00FF1FBB" w:rsidRDefault="00D331D3" w:rsidP="008A2A6D">
            <w:pPr>
              <w:pStyle w:val="ListParagraph"/>
              <w:numPr>
                <w:ilvl w:val="0"/>
                <w:numId w:val="0"/>
              </w:numPr>
              <w:spacing w:before="60"/>
              <w:ind w:left="144"/>
              <w:jc w:val="left"/>
              <w:rPr>
                <w:b/>
                <w:color w:val="000000"/>
                <w:sz w:val="20"/>
                <w:szCs w:val="27"/>
              </w:rPr>
            </w:pPr>
          </w:p>
        </w:tc>
        <w:tc>
          <w:tcPr>
            <w:tcW w:w="5102" w:type="dxa"/>
            <w:tcBorders>
              <w:top w:val="single" w:sz="4" w:space="0" w:color="auto"/>
              <w:bottom w:val="single" w:sz="4" w:space="0" w:color="auto"/>
            </w:tcBorders>
            <w:shd w:val="clear" w:color="auto" w:fill="auto"/>
          </w:tcPr>
          <w:p w:rsidR="00D331D3" w:rsidRPr="00D331D3" w:rsidRDefault="00D331D3" w:rsidP="008A2A6D">
            <w:pPr>
              <w:spacing w:before="60"/>
              <w:ind w:left="94" w:right="203" w:hanging="5"/>
              <w:jc w:val="left"/>
              <w:rPr>
                <w:sz w:val="20"/>
                <w:lang w:val="en-US"/>
              </w:rPr>
            </w:pPr>
            <w:r w:rsidRPr="00D331D3">
              <w:rPr>
                <w:sz w:val="20"/>
                <w:lang w:val="en-US"/>
              </w:rPr>
              <w:t>3.2.1.5. Utopljavanje zgrade„Tehnograd”</w:t>
            </w:r>
          </w:p>
        </w:tc>
      </w:tr>
      <w:tr w:rsidR="00D331D3" w:rsidRPr="00D331D3" w:rsidTr="007C55B5">
        <w:tc>
          <w:tcPr>
            <w:tcW w:w="4253" w:type="dxa"/>
            <w:vMerge/>
            <w:shd w:val="clear" w:color="auto" w:fill="auto"/>
            <w:vAlign w:val="center"/>
          </w:tcPr>
          <w:p w:rsidR="00D331D3" w:rsidRPr="00FF1FBB" w:rsidRDefault="00D331D3" w:rsidP="008A2A6D">
            <w:pPr>
              <w:pStyle w:val="ListParagraph"/>
              <w:numPr>
                <w:ilvl w:val="0"/>
                <w:numId w:val="0"/>
              </w:numPr>
              <w:spacing w:before="60"/>
              <w:ind w:left="144"/>
              <w:jc w:val="left"/>
              <w:rPr>
                <w:b/>
                <w:color w:val="000000"/>
                <w:sz w:val="20"/>
                <w:szCs w:val="27"/>
              </w:rPr>
            </w:pPr>
          </w:p>
        </w:tc>
        <w:tc>
          <w:tcPr>
            <w:tcW w:w="5102" w:type="dxa"/>
            <w:tcBorders>
              <w:top w:val="single" w:sz="4" w:space="0" w:color="auto"/>
              <w:bottom w:val="single" w:sz="4" w:space="0" w:color="auto"/>
            </w:tcBorders>
            <w:shd w:val="clear" w:color="auto" w:fill="auto"/>
          </w:tcPr>
          <w:p w:rsidR="00D331D3" w:rsidRPr="00D331D3" w:rsidRDefault="00D331D3" w:rsidP="008A2A6D">
            <w:pPr>
              <w:spacing w:before="60"/>
              <w:ind w:left="94" w:right="203" w:hanging="5"/>
              <w:jc w:val="left"/>
              <w:rPr>
                <w:lang w:val="en-US"/>
              </w:rPr>
            </w:pPr>
            <w:r w:rsidRPr="00D331D3">
              <w:rPr>
                <w:sz w:val="20"/>
                <w:lang w:val="en-US"/>
              </w:rPr>
              <w:t>3.2.1.6. Utopljavanje zgrade„Centar za socijalni rad“ i KP Komunalac</w:t>
            </w:r>
          </w:p>
        </w:tc>
      </w:tr>
      <w:tr w:rsidR="00D331D3" w:rsidRPr="00D331D3" w:rsidTr="007C55B5">
        <w:tc>
          <w:tcPr>
            <w:tcW w:w="4253" w:type="dxa"/>
            <w:vMerge/>
            <w:shd w:val="clear" w:color="auto" w:fill="auto"/>
            <w:vAlign w:val="center"/>
          </w:tcPr>
          <w:p w:rsidR="00D331D3" w:rsidRPr="00FF1FBB" w:rsidRDefault="00D331D3" w:rsidP="008A2A6D">
            <w:pPr>
              <w:pStyle w:val="ListParagraph"/>
              <w:numPr>
                <w:ilvl w:val="0"/>
                <w:numId w:val="0"/>
              </w:numPr>
              <w:spacing w:before="60"/>
              <w:ind w:left="144"/>
              <w:jc w:val="left"/>
              <w:rPr>
                <w:b/>
                <w:color w:val="000000"/>
                <w:sz w:val="20"/>
                <w:szCs w:val="27"/>
              </w:rPr>
            </w:pPr>
          </w:p>
        </w:tc>
        <w:tc>
          <w:tcPr>
            <w:tcW w:w="5102" w:type="dxa"/>
            <w:tcBorders>
              <w:top w:val="single" w:sz="4" w:space="0" w:color="auto"/>
              <w:bottom w:val="single" w:sz="4" w:space="0" w:color="auto"/>
            </w:tcBorders>
            <w:shd w:val="clear" w:color="auto" w:fill="auto"/>
          </w:tcPr>
          <w:p w:rsidR="00D331D3" w:rsidRPr="00D331D3" w:rsidRDefault="00D331D3" w:rsidP="008A2A6D">
            <w:pPr>
              <w:spacing w:before="60"/>
              <w:ind w:left="94" w:right="203" w:hanging="5"/>
              <w:jc w:val="left"/>
              <w:rPr>
                <w:sz w:val="20"/>
                <w:lang w:val="en-US"/>
              </w:rPr>
            </w:pPr>
            <w:r w:rsidRPr="00D331D3">
              <w:rPr>
                <w:sz w:val="20"/>
                <w:lang w:val="en-US"/>
              </w:rPr>
              <w:t>3.2.1.7. Utopljavanje i zamjena stolarije objekata centralnih OŠ (Kalesija Centar, Memići, Tojšići, Vukovije, RainciGornji)</w:t>
            </w:r>
          </w:p>
        </w:tc>
      </w:tr>
      <w:tr w:rsidR="00FE17A3" w:rsidRPr="00D331D3" w:rsidTr="007C55B5">
        <w:tc>
          <w:tcPr>
            <w:tcW w:w="4253" w:type="dxa"/>
            <w:vMerge w:val="restart"/>
            <w:shd w:val="clear" w:color="auto" w:fill="auto"/>
            <w:vAlign w:val="center"/>
          </w:tcPr>
          <w:p w:rsidR="00FE17A3" w:rsidRPr="00FF1FBB" w:rsidRDefault="00FE17A3" w:rsidP="008A2A6D">
            <w:pPr>
              <w:pStyle w:val="ListParagraph"/>
              <w:numPr>
                <w:ilvl w:val="0"/>
                <w:numId w:val="0"/>
              </w:numPr>
              <w:spacing w:before="60"/>
              <w:ind w:left="144"/>
              <w:jc w:val="left"/>
              <w:rPr>
                <w:b/>
                <w:color w:val="000000"/>
                <w:sz w:val="20"/>
                <w:szCs w:val="27"/>
              </w:rPr>
            </w:pPr>
            <w:r w:rsidRPr="00FF1FBB">
              <w:rPr>
                <w:b/>
                <w:color w:val="000000"/>
                <w:sz w:val="20"/>
                <w:szCs w:val="27"/>
              </w:rPr>
              <w:t>3.2.2. TOPLIFIKACIJA PODRUČJA OPĆINE</w:t>
            </w:r>
          </w:p>
        </w:tc>
        <w:tc>
          <w:tcPr>
            <w:tcW w:w="5102" w:type="dxa"/>
            <w:tcBorders>
              <w:top w:val="single" w:sz="4" w:space="0" w:color="auto"/>
              <w:bottom w:val="single" w:sz="4" w:space="0" w:color="auto"/>
            </w:tcBorders>
            <w:shd w:val="clear" w:color="auto" w:fill="auto"/>
          </w:tcPr>
          <w:p w:rsidR="00FE17A3" w:rsidRPr="00D331D3" w:rsidRDefault="00FE17A3" w:rsidP="008A2A6D">
            <w:pPr>
              <w:spacing w:before="60"/>
              <w:ind w:left="94" w:right="203" w:hanging="5"/>
              <w:jc w:val="left"/>
              <w:rPr>
                <w:sz w:val="20"/>
                <w:lang w:val="en-US"/>
              </w:rPr>
            </w:pPr>
            <w:r w:rsidRPr="00FE17A3">
              <w:rPr>
                <w:sz w:val="20"/>
                <w:lang w:val="en-US"/>
              </w:rPr>
              <w:t>3.2.2.1 Izrada projekta centralne gradske kotlovnice sa odabirom lokacije</w:t>
            </w:r>
          </w:p>
        </w:tc>
      </w:tr>
      <w:tr w:rsidR="00FE17A3" w:rsidRPr="00D331D3" w:rsidTr="007C55B5">
        <w:tc>
          <w:tcPr>
            <w:tcW w:w="4253" w:type="dxa"/>
            <w:vMerge/>
            <w:shd w:val="clear" w:color="auto" w:fill="auto"/>
            <w:vAlign w:val="center"/>
          </w:tcPr>
          <w:p w:rsidR="00FE17A3" w:rsidRPr="00FF1FBB" w:rsidRDefault="00FE17A3" w:rsidP="008A2A6D">
            <w:pPr>
              <w:pStyle w:val="ListParagraph"/>
              <w:numPr>
                <w:ilvl w:val="0"/>
                <w:numId w:val="0"/>
              </w:numPr>
              <w:spacing w:before="60"/>
              <w:ind w:left="144"/>
              <w:jc w:val="left"/>
              <w:rPr>
                <w:b/>
                <w:color w:val="000000"/>
                <w:sz w:val="20"/>
                <w:szCs w:val="27"/>
              </w:rPr>
            </w:pPr>
          </w:p>
        </w:tc>
        <w:tc>
          <w:tcPr>
            <w:tcW w:w="5102" w:type="dxa"/>
            <w:tcBorders>
              <w:top w:val="single" w:sz="4" w:space="0" w:color="auto"/>
              <w:bottom w:val="single" w:sz="4" w:space="0" w:color="auto"/>
            </w:tcBorders>
            <w:shd w:val="clear" w:color="auto" w:fill="auto"/>
          </w:tcPr>
          <w:p w:rsidR="00FE17A3" w:rsidRPr="00FE17A3" w:rsidRDefault="00FE17A3" w:rsidP="008A2A6D">
            <w:pPr>
              <w:spacing w:before="60"/>
              <w:ind w:left="94" w:right="203" w:hanging="5"/>
              <w:jc w:val="left"/>
              <w:rPr>
                <w:sz w:val="20"/>
                <w:szCs w:val="20"/>
                <w:lang w:val="en-US"/>
              </w:rPr>
            </w:pPr>
            <w:r w:rsidRPr="00FE17A3">
              <w:rPr>
                <w:sz w:val="20"/>
                <w:szCs w:val="20"/>
                <w:lang w:val="en-US"/>
              </w:rPr>
              <w:t>3.2.2.2. Izgradnja gradske kotlovnice</w:t>
            </w:r>
          </w:p>
        </w:tc>
      </w:tr>
      <w:tr w:rsidR="00FE17A3" w:rsidRPr="00D331D3" w:rsidTr="007C55B5">
        <w:tc>
          <w:tcPr>
            <w:tcW w:w="4253" w:type="dxa"/>
            <w:vMerge/>
            <w:shd w:val="clear" w:color="auto" w:fill="auto"/>
            <w:vAlign w:val="center"/>
          </w:tcPr>
          <w:p w:rsidR="00FE17A3" w:rsidRPr="00FF1FBB" w:rsidRDefault="00FE17A3" w:rsidP="008A2A6D">
            <w:pPr>
              <w:pStyle w:val="ListParagraph"/>
              <w:numPr>
                <w:ilvl w:val="0"/>
                <w:numId w:val="0"/>
              </w:numPr>
              <w:spacing w:before="60"/>
              <w:ind w:left="144"/>
              <w:jc w:val="left"/>
              <w:rPr>
                <w:b/>
                <w:color w:val="000000"/>
                <w:sz w:val="20"/>
                <w:szCs w:val="27"/>
              </w:rPr>
            </w:pPr>
          </w:p>
        </w:tc>
        <w:tc>
          <w:tcPr>
            <w:tcW w:w="5102" w:type="dxa"/>
            <w:tcBorders>
              <w:top w:val="single" w:sz="4" w:space="0" w:color="auto"/>
              <w:bottom w:val="single" w:sz="4" w:space="0" w:color="auto"/>
            </w:tcBorders>
            <w:shd w:val="clear" w:color="auto" w:fill="auto"/>
          </w:tcPr>
          <w:p w:rsidR="00FE17A3" w:rsidRPr="00D331D3" w:rsidRDefault="00FE17A3" w:rsidP="008A2A6D">
            <w:pPr>
              <w:spacing w:before="60"/>
              <w:ind w:left="94" w:right="203" w:hanging="5"/>
              <w:jc w:val="left"/>
              <w:rPr>
                <w:sz w:val="20"/>
                <w:lang w:val="en-US"/>
              </w:rPr>
            </w:pPr>
            <w:r w:rsidRPr="00FE17A3">
              <w:rPr>
                <w:sz w:val="20"/>
                <w:lang w:val="en-US"/>
              </w:rPr>
              <w:t>3.2.2.3. Izgradnja gradskog toplovoda</w:t>
            </w:r>
          </w:p>
        </w:tc>
      </w:tr>
      <w:tr w:rsidR="00FE17A3" w:rsidRPr="00D331D3" w:rsidTr="007C55B5">
        <w:tc>
          <w:tcPr>
            <w:tcW w:w="4253" w:type="dxa"/>
            <w:vMerge/>
            <w:shd w:val="clear" w:color="auto" w:fill="auto"/>
            <w:vAlign w:val="center"/>
          </w:tcPr>
          <w:p w:rsidR="00FE17A3" w:rsidRPr="00FF1FBB" w:rsidRDefault="00FE17A3" w:rsidP="008A2A6D">
            <w:pPr>
              <w:pStyle w:val="ListParagraph"/>
              <w:numPr>
                <w:ilvl w:val="0"/>
                <w:numId w:val="0"/>
              </w:numPr>
              <w:spacing w:before="60"/>
              <w:ind w:left="144"/>
              <w:jc w:val="left"/>
              <w:rPr>
                <w:b/>
                <w:color w:val="000000"/>
                <w:sz w:val="20"/>
                <w:szCs w:val="27"/>
              </w:rPr>
            </w:pPr>
          </w:p>
        </w:tc>
        <w:tc>
          <w:tcPr>
            <w:tcW w:w="5102" w:type="dxa"/>
            <w:tcBorders>
              <w:top w:val="single" w:sz="4" w:space="0" w:color="auto"/>
              <w:bottom w:val="single" w:sz="4" w:space="0" w:color="auto"/>
            </w:tcBorders>
            <w:shd w:val="clear" w:color="auto" w:fill="auto"/>
          </w:tcPr>
          <w:p w:rsidR="00FE17A3" w:rsidRPr="00FE17A3" w:rsidRDefault="00FE17A3" w:rsidP="008A2A6D">
            <w:pPr>
              <w:spacing w:before="60"/>
              <w:ind w:left="94" w:right="203" w:hanging="5"/>
              <w:jc w:val="left"/>
              <w:rPr>
                <w:lang w:val="en-US"/>
              </w:rPr>
            </w:pPr>
            <w:r w:rsidRPr="00FE17A3">
              <w:rPr>
                <w:sz w:val="20"/>
                <w:lang w:val="en-US"/>
              </w:rPr>
              <w:t>3.2.2.4. Edukacija građana o energetskoj efikasnosti sa izradom promotivnih afiša</w:t>
            </w:r>
          </w:p>
        </w:tc>
      </w:tr>
      <w:tr w:rsidR="00BA5FAA" w:rsidRPr="00D331D3" w:rsidTr="003019A8">
        <w:tc>
          <w:tcPr>
            <w:tcW w:w="4253" w:type="dxa"/>
            <w:vMerge w:val="restart"/>
            <w:shd w:val="clear" w:color="auto" w:fill="auto"/>
            <w:vAlign w:val="center"/>
          </w:tcPr>
          <w:p w:rsidR="00BA5FAA" w:rsidRPr="00FF1FBB" w:rsidRDefault="00BA5FAA" w:rsidP="008A2A6D">
            <w:pPr>
              <w:pStyle w:val="ListParagraph"/>
              <w:numPr>
                <w:ilvl w:val="0"/>
                <w:numId w:val="0"/>
              </w:numPr>
              <w:spacing w:before="60"/>
              <w:ind w:left="144"/>
              <w:jc w:val="left"/>
              <w:rPr>
                <w:b/>
                <w:color w:val="000000"/>
                <w:sz w:val="20"/>
                <w:szCs w:val="27"/>
              </w:rPr>
            </w:pPr>
            <w:r w:rsidRPr="00FF1FBB">
              <w:rPr>
                <w:b/>
                <w:color w:val="000000"/>
                <w:sz w:val="20"/>
                <w:szCs w:val="27"/>
              </w:rPr>
              <w:t>3.3.1. UREĐENJE VODOTOKA</w:t>
            </w:r>
          </w:p>
        </w:tc>
        <w:tc>
          <w:tcPr>
            <w:tcW w:w="5102" w:type="dxa"/>
            <w:tcBorders>
              <w:top w:val="single" w:sz="4" w:space="0" w:color="auto"/>
              <w:bottom w:val="single" w:sz="4" w:space="0" w:color="auto"/>
            </w:tcBorders>
            <w:shd w:val="clear" w:color="auto" w:fill="auto"/>
            <w:vAlign w:val="center"/>
          </w:tcPr>
          <w:p w:rsidR="00BA5FAA" w:rsidRPr="00BA5FAA" w:rsidRDefault="00BA5FAA" w:rsidP="008A2A6D">
            <w:pPr>
              <w:spacing w:before="60"/>
              <w:ind w:left="94" w:right="203" w:hanging="5"/>
              <w:jc w:val="left"/>
              <w:rPr>
                <w:sz w:val="20"/>
                <w:szCs w:val="20"/>
                <w:lang w:val="en-US"/>
              </w:rPr>
            </w:pPr>
            <w:r w:rsidRPr="00BA5FAA">
              <w:rPr>
                <w:sz w:val="20"/>
                <w:szCs w:val="20"/>
                <w:lang w:val="en-US"/>
              </w:rPr>
              <w:t>P 3.3.1.1. Izrada projekta uređenja korita rijeke Spreče</w:t>
            </w:r>
          </w:p>
        </w:tc>
      </w:tr>
      <w:tr w:rsidR="00BA5FAA" w:rsidRPr="00D331D3" w:rsidTr="003019A8">
        <w:tc>
          <w:tcPr>
            <w:tcW w:w="4253" w:type="dxa"/>
            <w:vMerge/>
            <w:shd w:val="clear" w:color="auto" w:fill="auto"/>
            <w:vAlign w:val="center"/>
          </w:tcPr>
          <w:p w:rsidR="00BA5FAA" w:rsidRPr="00FF1FBB" w:rsidRDefault="00BA5FAA" w:rsidP="008A2A6D">
            <w:pPr>
              <w:pStyle w:val="ListParagraph"/>
              <w:numPr>
                <w:ilvl w:val="0"/>
                <w:numId w:val="0"/>
              </w:numPr>
              <w:spacing w:before="60"/>
              <w:ind w:left="144"/>
              <w:jc w:val="left"/>
              <w:rPr>
                <w:b/>
                <w:color w:val="000000"/>
                <w:sz w:val="20"/>
                <w:szCs w:val="27"/>
              </w:rPr>
            </w:pPr>
          </w:p>
        </w:tc>
        <w:tc>
          <w:tcPr>
            <w:tcW w:w="5102" w:type="dxa"/>
            <w:tcBorders>
              <w:top w:val="single" w:sz="4" w:space="0" w:color="auto"/>
              <w:bottom w:val="single" w:sz="4" w:space="0" w:color="auto"/>
            </w:tcBorders>
            <w:shd w:val="clear" w:color="auto" w:fill="auto"/>
            <w:vAlign w:val="center"/>
          </w:tcPr>
          <w:p w:rsidR="00BA5FAA" w:rsidRPr="00BA5FAA" w:rsidRDefault="00BA5FAA" w:rsidP="008A2A6D">
            <w:pPr>
              <w:spacing w:before="60"/>
              <w:ind w:left="94" w:right="203" w:hanging="5"/>
              <w:jc w:val="left"/>
              <w:rPr>
                <w:sz w:val="20"/>
                <w:szCs w:val="20"/>
                <w:lang w:val="en-US"/>
              </w:rPr>
            </w:pPr>
            <w:r w:rsidRPr="00BA5FAA">
              <w:rPr>
                <w:sz w:val="20"/>
                <w:szCs w:val="20"/>
                <w:lang w:val="en-US"/>
              </w:rPr>
              <w:t>P 3.3.1.2. Uređenje korita rijeke Spreče</w:t>
            </w:r>
          </w:p>
        </w:tc>
      </w:tr>
      <w:tr w:rsidR="00BA5FAA" w:rsidRPr="00D331D3" w:rsidTr="003019A8">
        <w:tc>
          <w:tcPr>
            <w:tcW w:w="4253" w:type="dxa"/>
            <w:vMerge/>
            <w:shd w:val="clear" w:color="auto" w:fill="auto"/>
            <w:vAlign w:val="center"/>
          </w:tcPr>
          <w:p w:rsidR="00BA5FAA" w:rsidRPr="00FF1FBB" w:rsidRDefault="00BA5FAA" w:rsidP="008A2A6D">
            <w:pPr>
              <w:pStyle w:val="ListParagraph"/>
              <w:numPr>
                <w:ilvl w:val="0"/>
                <w:numId w:val="0"/>
              </w:numPr>
              <w:spacing w:before="60"/>
              <w:ind w:left="144"/>
              <w:jc w:val="left"/>
              <w:rPr>
                <w:b/>
                <w:color w:val="000000"/>
                <w:sz w:val="20"/>
                <w:szCs w:val="27"/>
              </w:rPr>
            </w:pPr>
          </w:p>
        </w:tc>
        <w:tc>
          <w:tcPr>
            <w:tcW w:w="5102" w:type="dxa"/>
            <w:tcBorders>
              <w:top w:val="single" w:sz="4" w:space="0" w:color="auto"/>
              <w:bottom w:val="single" w:sz="4" w:space="0" w:color="auto"/>
            </w:tcBorders>
            <w:shd w:val="clear" w:color="auto" w:fill="auto"/>
            <w:vAlign w:val="center"/>
          </w:tcPr>
          <w:p w:rsidR="00BA5FAA" w:rsidRPr="00BA5FAA" w:rsidRDefault="00BA5FAA" w:rsidP="008A2A6D">
            <w:pPr>
              <w:spacing w:before="60"/>
              <w:ind w:left="94" w:right="203" w:hanging="5"/>
              <w:jc w:val="left"/>
              <w:rPr>
                <w:sz w:val="20"/>
                <w:szCs w:val="20"/>
                <w:lang w:val="en-US"/>
              </w:rPr>
            </w:pPr>
            <w:r w:rsidRPr="00BA5FAA">
              <w:rPr>
                <w:sz w:val="20"/>
                <w:szCs w:val="20"/>
                <w:lang w:val="en-US"/>
              </w:rPr>
              <w:t>P 3.3.1.3. Nastavak uređenja korita rijeke Gribaje</w:t>
            </w:r>
          </w:p>
        </w:tc>
      </w:tr>
      <w:tr w:rsidR="00BA5FAA" w:rsidRPr="00D331D3" w:rsidTr="003019A8">
        <w:tc>
          <w:tcPr>
            <w:tcW w:w="4253" w:type="dxa"/>
            <w:vMerge/>
            <w:shd w:val="clear" w:color="auto" w:fill="auto"/>
            <w:vAlign w:val="center"/>
          </w:tcPr>
          <w:p w:rsidR="00BA5FAA" w:rsidRPr="00FF1FBB" w:rsidRDefault="00BA5FAA" w:rsidP="008A2A6D">
            <w:pPr>
              <w:pStyle w:val="ListParagraph"/>
              <w:numPr>
                <w:ilvl w:val="0"/>
                <w:numId w:val="0"/>
              </w:numPr>
              <w:spacing w:before="60"/>
              <w:ind w:left="144"/>
              <w:jc w:val="left"/>
              <w:rPr>
                <w:b/>
                <w:color w:val="000000"/>
                <w:sz w:val="20"/>
                <w:szCs w:val="27"/>
              </w:rPr>
            </w:pPr>
          </w:p>
        </w:tc>
        <w:tc>
          <w:tcPr>
            <w:tcW w:w="5102" w:type="dxa"/>
            <w:tcBorders>
              <w:top w:val="single" w:sz="4" w:space="0" w:color="auto"/>
              <w:bottom w:val="single" w:sz="4" w:space="0" w:color="auto"/>
            </w:tcBorders>
            <w:shd w:val="clear" w:color="auto" w:fill="auto"/>
            <w:vAlign w:val="center"/>
          </w:tcPr>
          <w:p w:rsidR="00BA5FAA" w:rsidRPr="00BA5FAA" w:rsidRDefault="00BA5FAA" w:rsidP="008A2A6D">
            <w:pPr>
              <w:spacing w:before="60"/>
              <w:ind w:left="94" w:right="203" w:hanging="5"/>
              <w:jc w:val="left"/>
              <w:rPr>
                <w:sz w:val="20"/>
                <w:szCs w:val="20"/>
                <w:lang w:val="en-US"/>
              </w:rPr>
            </w:pPr>
            <w:r w:rsidRPr="00BA5FAA">
              <w:rPr>
                <w:sz w:val="20"/>
                <w:szCs w:val="20"/>
                <w:lang w:val="en-US"/>
              </w:rPr>
              <w:t>P 3.3.1.4. Nastavak uređenja korita rijeke Dubnice</w:t>
            </w:r>
          </w:p>
        </w:tc>
      </w:tr>
      <w:tr w:rsidR="00BA5FAA" w:rsidRPr="00D331D3" w:rsidTr="003019A8">
        <w:tc>
          <w:tcPr>
            <w:tcW w:w="4253" w:type="dxa"/>
            <w:vMerge/>
            <w:shd w:val="clear" w:color="auto" w:fill="auto"/>
            <w:vAlign w:val="center"/>
          </w:tcPr>
          <w:p w:rsidR="00BA5FAA" w:rsidRPr="00FF1FBB" w:rsidRDefault="00BA5FAA" w:rsidP="008A2A6D">
            <w:pPr>
              <w:pStyle w:val="ListParagraph"/>
              <w:numPr>
                <w:ilvl w:val="0"/>
                <w:numId w:val="0"/>
              </w:numPr>
              <w:spacing w:before="60"/>
              <w:ind w:left="144"/>
              <w:jc w:val="left"/>
              <w:rPr>
                <w:b/>
                <w:color w:val="000000"/>
                <w:sz w:val="20"/>
                <w:szCs w:val="27"/>
              </w:rPr>
            </w:pPr>
          </w:p>
        </w:tc>
        <w:tc>
          <w:tcPr>
            <w:tcW w:w="5102" w:type="dxa"/>
            <w:tcBorders>
              <w:top w:val="single" w:sz="4" w:space="0" w:color="auto"/>
              <w:bottom w:val="single" w:sz="4" w:space="0" w:color="auto"/>
            </w:tcBorders>
            <w:shd w:val="clear" w:color="auto" w:fill="auto"/>
            <w:vAlign w:val="center"/>
          </w:tcPr>
          <w:p w:rsidR="00BA5FAA" w:rsidRPr="00BA5FAA" w:rsidRDefault="00BA5FAA" w:rsidP="008A2A6D">
            <w:pPr>
              <w:spacing w:before="60"/>
              <w:ind w:left="94" w:right="203" w:hanging="5"/>
              <w:jc w:val="left"/>
              <w:rPr>
                <w:sz w:val="20"/>
                <w:szCs w:val="20"/>
                <w:lang w:val="en-US"/>
              </w:rPr>
            </w:pPr>
            <w:r w:rsidRPr="00BA5FAA">
              <w:rPr>
                <w:sz w:val="20"/>
                <w:szCs w:val="20"/>
                <w:lang w:val="en-US"/>
              </w:rPr>
              <w:t>P 3.3.1.5. Čišćenje i održavanje kanalske mreže pored lokalnh puteva</w:t>
            </w:r>
          </w:p>
        </w:tc>
      </w:tr>
      <w:tr w:rsidR="00BA5FAA" w:rsidRPr="00D331D3" w:rsidTr="007C55B5">
        <w:tc>
          <w:tcPr>
            <w:tcW w:w="4253" w:type="dxa"/>
            <w:vMerge w:val="restart"/>
            <w:shd w:val="clear" w:color="auto" w:fill="auto"/>
            <w:vAlign w:val="center"/>
          </w:tcPr>
          <w:p w:rsidR="00BA5FAA" w:rsidRPr="00FF1FBB" w:rsidRDefault="00BA5FAA" w:rsidP="008A2A6D">
            <w:pPr>
              <w:pStyle w:val="ListParagraph"/>
              <w:numPr>
                <w:ilvl w:val="0"/>
                <w:numId w:val="0"/>
              </w:numPr>
              <w:spacing w:before="60"/>
              <w:ind w:left="144"/>
              <w:jc w:val="left"/>
              <w:rPr>
                <w:b/>
                <w:color w:val="000000"/>
                <w:sz w:val="20"/>
                <w:szCs w:val="27"/>
              </w:rPr>
            </w:pPr>
            <w:r>
              <w:rPr>
                <w:b/>
                <w:color w:val="000000"/>
                <w:sz w:val="20"/>
                <w:szCs w:val="27"/>
              </w:rPr>
              <w:t>3.3.2. SANACIJA KLIZIŠTA</w:t>
            </w:r>
          </w:p>
        </w:tc>
        <w:tc>
          <w:tcPr>
            <w:tcW w:w="5102" w:type="dxa"/>
            <w:tcBorders>
              <w:top w:val="single" w:sz="4" w:space="0" w:color="auto"/>
              <w:bottom w:val="single" w:sz="4" w:space="0" w:color="auto"/>
            </w:tcBorders>
            <w:shd w:val="clear" w:color="auto" w:fill="auto"/>
          </w:tcPr>
          <w:p w:rsidR="00BA5FAA" w:rsidRPr="00FE17A3" w:rsidRDefault="00BA5FAA" w:rsidP="008A2A6D">
            <w:pPr>
              <w:spacing w:before="60"/>
              <w:ind w:left="94" w:right="203" w:hanging="5"/>
              <w:jc w:val="left"/>
              <w:rPr>
                <w:sz w:val="20"/>
                <w:lang w:val="en-US"/>
              </w:rPr>
            </w:pPr>
            <w:r>
              <w:rPr>
                <w:sz w:val="20"/>
                <w:lang w:val="en-US"/>
              </w:rPr>
              <w:t>3.3.2</w:t>
            </w:r>
            <w:r w:rsidRPr="00FE17A3">
              <w:rPr>
                <w:sz w:val="20"/>
                <w:lang w:val="en-US"/>
              </w:rPr>
              <w:t>.1. Izrada katastra svih klizišta na području općine Kalesija</w:t>
            </w:r>
          </w:p>
        </w:tc>
      </w:tr>
      <w:tr w:rsidR="00BA5FAA" w:rsidRPr="00D331D3" w:rsidTr="007C55B5">
        <w:tc>
          <w:tcPr>
            <w:tcW w:w="4253" w:type="dxa"/>
            <w:vMerge/>
            <w:shd w:val="clear" w:color="auto" w:fill="auto"/>
            <w:vAlign w:val="center"/>
          </w:tcPr>
          <w:p w:rsidR="00BA5FAA" w:rsidRPr="00FF1FBB" w:rsidRDefault="00BA5FAA" w:rsidP="008A2A6D">
            <w:pPr>
              <w:pStyle w:val="ListParagraph"/>
              <w:numPr>
                <w:ilvl w:val="0"/>
                <w:numId w:val="0"/>
              </w:numPr>
              <w:spacing w:before="60"/>
              <w:ind w:left="144"/>
              <w:jc w:val="left"/>
              <w:rPr>
                <w:b/>
                <w:color w:val="000000"/>
                <w:sz w:val="20"/>
                <w:szCs w:val="27"/>
              </w:rPr>
            </w:pPr>
          </w:p>
        </w:tc>
        <w:tc>
          <w:tcPr>
            <w:tcW w:w="5102" w:type="dxa"/>
            <w:tcBorders>
              <w:top w:val="single" w:sz="4" w:space="0" w:color="auto"/>
              <w:bottom w:val="single" w:sz="4" w:space="0" w:color="auto"/>
            </w:tcBorders>
            <w:shd w:val="clear" w:color="auto" w:fill="auto"/>
          </w:tcPr>
          <w:p w:rsidR="00BA5FAA" w:rsidRPr="00AB4B94" w:rsidRDefault="00BA5FAA" w:rsidP="008A2A6D">
            <w:pPr>
              <w:spacing w:before="60"/>
              <w:ind w:left="94" w:right="203" w:hanging="5"/>
              <w:jc w:val="left"/>
              <w:rPr>
                <w:lang w:val="en-US"/>
              </w:rPr>
            </w:pPr>
            <w:r w:rsidRPr="00F171DA">
              <w:rPr>
                <w:sz w:val="20"/>
                <w:lang w:val="en-US"/>
              </w:rPr>
              <w:t>3.3.</w:t>
            </w:r>
            <w:r>
              <w:rPr>
                <w:sz w:val="20"/>
                <w:lang w:val="en-US"/>
              </w:rPr>
              <w:t>2</w:t>
            </w:r>
            <w:r w:rsidRPr="00F171DA">
              <w:rPr>
                <w:sz w:val="20"/>
                <w:lang w:val="en-US"/>
              </w:rPr>
              <w:t xml:space="preserve">.2. Izrada Elaborata i projekata sanacije klizišta po </w:t>
            </w:r>
            <w:r w:rsidRPr="00F171DA">
              <w:rPr>
                <w:sz w:val="20"/>
                <w:lang w:val="en-US"/>
              </w:rPr>
              <w:lastRenderedPageBreak/>
              <w:t>utvrđenim prioritetima (Jajići, Lipovice, Kikači, Horozovina</w:t>
            </w:r>
            <w:r>
              <w:rPr>
                <w:lang w:val="en-US"/>
              </w:rPr>
              <w:t>)</w:t>
            </w:r>
          </w:p>
        </w:tc>
      </w:tr>
      <w:tr w:rsidR="00BA5FAA" w:rsidRPr="00D331D3" w:rsidTr="007C55B5">
        <w:tc>
          <w:tcPr>
            <w:tcW w:w="4253" w:type="dxa"/>
            <w:vMerge w:val="restart"/>
            <w:shd w:val="clear" w:color="auto" w:fill="auto"/>
            <w:vAlign w:val="center"/>
          </w:tcPr>
          <w:p w:rsidR="00BA5FAA" w:rsidRPr="00FF1FBB" w:rsidRDefault="00BA5FAA" w:rsidP="008A2A6D">
            <w:pPr>
              <w:pStyle w:val="ListParagraph"/>
              <w:numPr>
                <w:ilvl w:val="0"/>
                <w:numId w:val="0"/>
              </w:numPr>
              <w:spacing w:before="60"/>
              <w:ind w:left="144"/>
              <w:jc w:val="left"/>
              <w:rPr>
                <w:b/>
                <w:color w:val="000000"/>
                <w:sz w:val="20"/>
                <w:szCs w:val="27"/>
              </w:rPr>
            </w:pPr>
            <w:r w:rsidRPr="00FF1FBB">
              <w:rPr>
                <w:b/>
                <w:color w:val="000000"/>
                <w:sz w:val="20"/>
                <w:szCs w:val="27"/>
              </w:rPr>
              <w:lastRenderedPageBreak/>
              <w:t>3.3.3. UNAPRIJEĐENJE SISTEMA ZAŠTITE I SPAŠAVANJA</w:t>
            </w:r>
          </w:p>
        </w:tc>
        <w:tc>
          <w:tcPr>
            <w:tcW w:w="5102" w:type="dxa"/>
            <w:tcBorders>
              <w:top w:val="single" w:sz="4" w:space="0" w:color="auto"/>
              <w:bottom w:val="single" w:sz="4" w:space="0" w:color="auto"/>
            </w:tcBorders>
            <w:shd w:val="clear" w:color="auto" w:fill="auto"/>
          </w:tcPr>
          <w:p w:rsidR="00BA5FAA" w:rsidRPr="00F171DA" w:rsidRDefault="00BA5FAA" w:rsidP="008A2A6D">
            <w:pPr>
              <w:pStyle w:val="Pitcures"/>
              <w:spacing w:before="60" w:after="60"/>
              <w:ind w:left="94" w:right="203" w:hanging="5"/>
              <w:jc w:val="left"/>
              <w:rPr>
                <w:sz w:val="20"/>
                <w:lang w:val="en-US"/>
              </w:rPr>
            </w:pPr>
            <w:r w:rsidRPr="00F171DA">
              <w:rPr>
                <w:sz w:val="20"/>
                <w:lang w:val="en-US"/>
              </w:rPr>
              <w:t>3.3</w:t>
            </w:r>
            <w:r>
              <w:rPr>
                <w:sz w:val="20"/>
                <w:lang w:val="en-US"/>
              </w:rPr>
              <w:t>.3.1. Opremanje civilne zaštite</w:t>
            </w:r>
          </w:p>
        </w:tc>
      </w:tr>
      <w:tr w:rsidR="00BA5FAA" w:rsidRPr="00D331D3" w:rsidTr="007C55B5">
        <w:tc>
          <w:tcPr>
            <w:tcW w:w="4253" w:type="dxa"/>
            <w:vMerge/>
            <w:shd w:val="clear" w:color="auto" w:fill="auto"/>
            <w:vAlign w:val="center"/>
          </w:tcPr>
          <w:p w:rsidR="00BA5FAA" w:rsidRPr="00FF1FBB" w:rsidRDefault="00BA5FAA" w:rsidP="008A2A6D">
            <w:pPr>
              <w:pStyle w:val="ListParagraph"/>
              <w:numPr>
                <w:ilvl w:val="0"/>
                <w:numId w:val="0"/>
              </w:numPr>
              <w:spacing w:before="60"/>
              <w:ind w:left="144"/>
              <w:jc w:val="left"/>
              <w:rPr>
                <w:b/>
                <w:color w:val="000000"/>
                <w:sz w:val="20"/>
                <w:szCs w:val="27"/>
              </w:rPr>
            </w:pPr>
          </w:p>
        </w:tc>
        <w:tc>
          <w:tcPr>
            <w:tcW w:w="5102" w:type="dxa"/>
            <w:tcBorders>
              <w:top w:val="single" w:sz="4" w:space="0" w:color="auto"/>
              <w:bottom w:val="single" w:sz="4" w:space="0" w:color="auto"/>
            </w:tcBorders>
            <w:shd w:val="clear" w:color="auto" w:fill="auto"/>
          </w:tcPr>
          <w:p w:rsidR="00BA5FAA" w:rsidRPr="00FE17A3" w:rsidRDefault="00BA5FAA" w:rsidP="008A2A6D">
            <w:pPr>
              <w:spacing w:before="60"/>
              <w:ind w:left="94" w:right="203" w:hanging="5"/>
              <w:jc w:val="left"/>
              <w:rPr>
                <w:sz w:val="20"/>
                <w:lang w:val="en-US"/>
              </w:rPr>
            </w:pPr>
            <w:r w:rsidRPr="00F171DA">
              <w:rPr>
                <w:sz w:val="20"/>
                <w:lang w:val="en-US"/>
              </w:rPr>
              <w:t>3.3.3.2. Organizovanje edukacije za pripadnike CZ i javnosti</w:t>
            </w:r>
          </w:p>
        </w:tc>
      </w:tr>
      <w:tr w:rsidR="00BA5FAA" w:rsidRPr="00D331D3" w:rsidTr="007C55B5">
        <w:tc>
          <w:tcPr>
            <w:tcW w:w="4253" w:type="dxa"/>
            <w:vMerge/>
            <w:shd w:val="clear" w:color="auto" w:fill="auto"/>
            <w:vAlign w:val="center"/>
          </w:tcPr>
          <w:p w:rsidR="00BA5FAA" w:rsidRPr="00FF1FBB" w:rsidRDefault="00BA5FAA" w:rsidP="008A2A6D">
            <w:pPr>
              <w:pStyle w:val="ListParagraph"/>
              <w:numPr>
                <w:ilvl w:val="0"/>
                <w:numId w:val="0"/>
              </w:numPr>
              <w:spacing w:before="60"/>
              <w:ind w:left="144"/>
              <w:jc w:val="left"/>
              <w:rPr>
                <w:b/>
                <w:color w:val="000000"/>
                <w:sz w:val="20"/>
                <w:szCs w:val="27"/>
              </w:rPr>
            </w:pPr>
          </w:p>
        </w:tc>
        <w:tc>
          <w:tcPr>
            <w:tcW w:w="5102" w:type="dxa"/>
            <w:tcBorders>
              <w:top w:val="single" w:sz="4" w:space="0" w:color="auto"/>
            </w:tcBorders>
            <w:shd w:val="clear" w:color="auto" w:fill="auto"/>
          </w:tcPr>
          <w:p w:rsidR="00BA5FAA" w:rsidRPr="00F171DA" w:rsidRDefault="00BA5FAA" w:rsidP="008A2A6D">
            <w:pPr>
              <w:spacing w:before="60"/>
              <w:ind w:left="94" w:right="203" w:hanging="5"/>
              <w:jc w:val="left"/>
              <w:rPr>
                <w:sz w:val="20"/>
                <w:lang w:val="en-US"/>
              </w:rPr>
            </w:pPr>
            <w:r w:rsidRPr="00F171DA">
              <w:rPr>
                <w:sz w:val="20"/>
                <w:lang w:val="en-US"/>
              </w:rPr>
              <w:t>3.3.3.3. Aktivnosti na deminiranju terena</w:t>
            </w:r>
          </w:p>
        </w:tc>
      </w:tr>
    </w:tbl>
    <w:p w:rsidR="00AB4B94" w:rsidRPr="00881DF1" w:rsidRDefault="00881DF1" w:rsidP="003F320A">
      <w:r w:rsidRPr="00881DF1">
        <w:t>Ukupna očekivana ulaganja za realizaciju sektorskog plana životne sredin</w:t>
      </w:r>
      <w:r w:rsidR="00457A5D">
        <w:t xml:space="preserve">e su: </w:t>
      </w:r>
      <w:r w:rsidR="006A4A95" w:rsidRPr="006A4A95">
        <w:t xml:space="preserve">25.855.000 </w:t>
      </w:r>
      <w:r w:rsidR="00AB4B94">
        <w:t>KM.</w:t>
      </w:r>
    </w:p>
    <w:p w:rsidR="00671FC0" w:rsidRDefault="00671FC0" w:rsidP="00AD59CB">
      <w:r>
        <w:br w:type="page"/>
      </w:r>
    </w:p>
    <w:p w:rsidR="00671FC0" w:rsidRDefault="00671FC0" w:rsidP="00AD59CB">
      <w:pPr>
        <w:sectPr w:rsidR="00671FC0" w:rsidSect="007339D6">
          <w:footerReference w:type="default" r:id="rId38"/>
          <w:pgSz w:w="12240" w:h="15840"/>
          <w:pgMar w:top="1440" w:right="1440" w:bottom="1260" w:left="1440" w:header="720" w:footer="720" w:gutter="0"/>
          <w:cols w:space="720"/>
          <w:docGrid w:linePitch="360"/>
        </w:sectPr>
      </w:pPr>
    </w:p>
    <w:p w:rsidR="00881DF1" w:rsidRPr="00881DF1" w:rsidRDefault="00881DF1" w:rsidP="00AD59CB">
      <w:pPr>
        <w:pStyle w:val="Heading1"/>
      </w:pPr>
      <w:bookmarkStart w:id="140" w:name="_Toc491379788"/>
      <w:bookmarkStart w:id="141" w:name="_Toc500140063"/>
      <w:r w:rsidRPr="00881DF1">
        <w:lastRenderedPageBreak/>
        <w:t>VI. Operativni dio</w:t>
      </w:r>
      <w:bookmarkEnd w:id="140"/>
      <w:bookmarkEnd w:id="141"/>
    </w:p>
    <w:p w:rsidR="00881DF1" w:rsidRDefault="00881DF1" w:rsidP="00931888">
      <w:pPr>
        <w:pStyle w:val="Heading2"/>
      </w:pPr>
      <w:bookmarkStart w:id="142" w:name="_Toc491379789"/>
      <w:bookmarkStart w:id="143" w:name="_Toc500140064"/>
      <w:r w:rsidRPr="00881DF1">
        <w:t>VI.1. Plan implementacije strateških projekata i mjera za 3 godine (1+2)</w:t>
      </w:r>
      <w:bookmarkEnd w:id="142"/>
      <w:bookmarkEnd w:id="143"/>
    </w:p>
    <w:p w:rsidR="00753D41" w:rsidRDefault="00753D41" w:rsidP="003F320A">
      <w:r w:rsidRPr="00753D41">
        <w:t xml:space="preserve">Plan implementacije se popunjava u excel formi radi boljeg pregleda, lakšeg popunjavanja i mogućnosti printanja. Excel forma </w:t>
      </w:r>
      <w:r w:rsidR="008C5840">
        <w:t>s</w:t>
      </w:r>
      <w:r w:rsidRPr="00753D41">
        <w:t>e dostavlja svim konsultantima i općinama/opštinama.</w:t>
      </w:r>
    </w:p>
    <w:p w:rsidR="00753D41" w:rsidRDefault="00753D41" w:rsidP="003F320A">
      <w:r w:rsidRPr="00753D41">
        <w:t xml:space="preserve">Pod </w:t>
      </w:r>
      <w:r>
        <w:t>„</w:t>
      </w:r>
      <w:r w:rsidRPr="00753D41">
        <w:t>ukupni ishod</w:t>
      </w:r>
      <w:r>
        <w:t>“</w:t>
      </w:r>
      <w:r w:rsidRPr="00753D41">
        <w:t xml:space="preserve"> upisuje se očekivani krajnji ishod sa završetkom realizacije projekta. Ukoliko se radi o projektu ili mjeri koji svake godine imaju isti ishod, moguće je upisati godišnji ishod uz napomenu da se radi o godišnjem ishodu.</w:t>
      </w:r>
    </w:p>
    <w:p w:rsidR="00753D41" w:rsidRPr="00753D41" w:rsidRDefault="00753D41" w:rsidP="00AD59C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1128"/>
        <w:gridCol w:w="1387"/>
        <w:gridCol w:w="2056"/>
        <w:gridCol w:w="856"/>
        <w:gridCol w:w="748"/>
        <w:gridCol w:w="736"/>
        <w:gridCol w:w="736"/>
        <w:gridCol w:w="736"/>
        <w:gridCol w:w="856"/>
        <w:gridCol w:w="856"/>
        <w:gridCol w:w="856"/>
        <w:gridCol w:w="856"/>
        <w:gridCol w:w="741"/>
        <w:gridCol w:w="866"/>
        <w:gridCol w:w="929"/>
      </w:tblGrid>
      <w:tr w:rsidR="0005437D" w:rsidRPr="00881DF1" w:rsidTr="00670037">
        <w:trPr>
          <w:trHeight w:val="647"/>
          <w:jc w:val="center"/>
        </w:trPr>
        <w:tc>
          <w:tcPr>
            <w:tcW w:w="0" w:type="auto"/>
            <w:vMerge w:val="restart"/>
            <w:shd w:val="clear" w:color="auto" w:fill="95B3D7"/>
            <w:textDirection w:val="btLr"/>
          </w:tcPr>
          <w:p w:rsidR="00881DF1" w:rsidRPr="0023350B" w:rsidRDefault="00881DF1" w:rsidP="00A822C7">
            <w:pPr>
              <w:jc w:val="center"/>
            </w:pPr>
            <w:r w:rsidRPr="0023350B">
              <w:t>Veza sa strateškim ciljem/ ciljevima</w:t>
            </w:r>
          </w:p>
        </w:tc>
        <w:tc>
          <w:tcPr>
            <w:tcW w:w="0" w:type="auto"/>
            <w:vMerge w:val="restart"/>
            <w:shd w:val="clear" w:color="auto" w:fill="95B3D7"/>
            <w:textDirection w:val="btLr"/>
          </w:tcPr>
          <w:p w:rsidR="00881DF1" w:rsidRPr="0023350B" w:rsidRDefault="00881DF1" w:rsidP="00A822C7">
            <w:pPr>
              <w:jc w:val="center"/>
            </w:pPr>
            <w:r w:rsidRPr="0023350B">
              <w:t>Projekat/mjera i  orjentacioni period realizacije (od xx do xx)</w:t>
            </w:r>
          </w:p>
        </w:tc>
        <w:tc>
          <w:tcPr>
            <w:tcW w:w="0" w:type="auto"/>
            <w:vMerge w:val="restart"/>
            <w:shd w:val="clear" w:color="auto" w:fill="95B3D7"/>
            <w:textDirection w:val="btLr"/>
          </w:tcPr>
          <w:p w:rsidR="00881DF1" w:rsidRPr="0023350B" w:rsidRDefault="00881DF1" w:rsidP="00A822C7">
            <w:pPr>
              <w:jc w:val="center"/>
            </w:pPr>
            <w:r w:rsidRPr="0023350B">
              <w:t>Ukupni ishodi</w:t>
            </w:r>
          </w:p>
        </w:tc>
        <w:tc>
          <w:tcPr>
            <w:tcW w:w="0" w:type="auto"/>
            <w:vMerge w:val="restart"/>
            <w:shd w:val="clear" w:color="auto" w:fill="95B3D7"/>
            <w:textDirection w:val="btLr"/>
          </w:tcPr>
          <w:p w:rsidR="00881DF1" w:rsidRPr="0005437D" w:rsidRDefault="00881DF1" w:rsidP="00A822C7">
            <w:pPr>
              <w:jc w:val="center"/>
              <w:rPr>
                <w:szCs w:val="14"/>
              </w:rPr>
            </w:pPr>
            <w:r w:rsidRPr="0005437D">
              <w:rPr>
                <w:szCs w:val="14"/>
              </w:rPr>
              <w:t>Ukupni orijent. izdaci (do završetka projekta)</w:t>
            </w:r>
          </w:p>
        </w:tc>
        <w:tc>
          <w:tcPr>
            <w:tcW w:w="0" w:type="auto"/>
            <w:gridSpan w:val="4"/>
            <w:shd w:val="clear" w:color="auto" w:fill="95B3D7"/>
          </w:tcPr>
          <w:p w:rsidR="00881DF1" w:rsidRPr="0005437D" w:rsidRDefault="00881DF1" w:rsidP="00A822C7">
            <w:pPr>
              <w:jc w:val="center"/>
              <w:rPr>
                <w:szCs w:val="14"/>
              </w:rPr>
            </w:pPr>
            <w:r w:rsidRPr="0005437D">
              <w:rPr>
                <w:szCs w:val="14"/>
              </w:rPr>
              <w:t>Finansiranje iz općinskog budžeta</w:t>
            </w:r>
          </w:p>
        </w:tc>
        <w:tc>
          <w:tcPr>
            <w:tcW w:w="0" w:type="auto"/>
            <w:gridSpan w:val="4"/>
            <w:shd w:val="clear" w:color="auto" w:fill="95B3D7"/>
          </w:tcPr>
          <w:p w:rsidR="00881DF1" w:rsidRPr="0005437D" w:rsidRDefault="00881DF1" w:rsidP="00A822C7">
            <w:pPr>
              <w:jc w:val="center"/>
              <w:rPr>
                <w:szCs w:val="14"/>
              </w:rPr>
            </w:pPr>
            <w:r w:rsidRPr="0005437D">
              <w:rPr>
                <w:szCs w:val="14"/>
              </w:rPr>
              <w:t>Finansiranje iz ostalih izvora</w:t>
            </w:r>
          </w:p>
        </w:tc>
        <w:tc>
          <w:tcPr>
            <w:tcW w:w="0" w:type="auto"/>
            <w:vMerge w:val="restart"/>
            <w:shd w:val="clear" w:color="auto" w:fill="95B3D7"/>
            <w:textDirection w:val="btLr"/>
            <w:vAlign w:val="center"/>
          </w:tcPr>
          <w:p w:rsidR="00881DF1" w:rsidRPr="0023350B" w:rsidRDefault="00881DF1" w:rsidP="00A822C7">
            <w:pPr>
              <w:jc w:val="center"/>
            </w:pPr>
            <w:r w:rsidRPr="0023350B">
              <w:t>Nositelji implementacije</w:t>
            </w:r>
          </w:p>
        </w:tc>
        <w:tc>
          <w:tcPr>
            <w:tcW w:w="0" w:type="auto"/>
            <w:vMerge w:val="restart"/>
            <w:shd w:val="clear" w:color="auto" w:fill="95B3D7"/>
            <w:textDirection w:val="btLr"/>
            <w:vAlign w:val="center"/>
          </w:tcPr>
          <w:p w:rsidR="00881DF1" w:rsidRPr="0023350B" w:rsidRDefault="00881DF1" w:rsidP="00A822C7">
            <w:pPr>
              <w:jc w:val="center"/>
            </w:pPr>
            <w:r w:rsidRPr="0023350B">
              <w:t>Veza sa budžetom i/ili oznaka ekst. izvora finansiranja</w:t>
            </w:r>
          </w:p>
        </w:tc>
        <w:tc>
          <w:tcPr>
            <w:tcW w:w="0" w:type="auto"/>
            <w:vMerge w:val="restart"/>
            <w:shd w:val="clear" w:color="auto" w:fill="95B3D7"/>
            <w:textDirection w:val="btLr"/>
            <w:vAlign w:val="center"/>
          </w:tcPr>
          <w:p w:rsidR="00881DF1" w:rsidRPr="0023350B" w:rsidRDefault="00881DF1" w:rsidP="00A822C7">
            <w:pPr>
              <w:jc w:val="center"/>
            </w:pPr>
            <w:r w:rsidRPr="0023350B">
              <w:t>Opštinska služba odgovorna za praćenje</w:t>
            </w:r>
          </w:p>
        </w:tc>
      </w:tr>
      <w:tr w:rsidR="00670037" w:rsidRPr="00881DF1" w:rsidTr="00670037">
        <w:trPr>
          <w:cantSplit/>
          <w:trHeight w:val="1644"/>
          <w:jc w:val="center"/>
        </w:trPr>
        <w:tc>
          <w:tcPr>
            <w:tcW w:w="0" w:type="auto"/>
            <w:vMerge/>
            <w:shd w:val="clear" w:color="auto" w:fill="95B3D7"/>
            <w:vAlign w:val="center"/>
          </w:tcPr>
          <w:p w:rsidR="00881DF1" w:rsidRPr="00881DF1" w:rsidRDefault="00881DF1" w:rsidP="00AD59CB"/>
        </w:tc>
        <w:tc>
          <w:tcPr>
            <w:tcW w:w="0" w:type="auto"/>
            <w:vMerge/>
            <w:shd w:val="clear" w:color="auto" w:fill="95B3D7"/>
            <w:vAlign w:val="center"/>
          </w:tcPr>
          <w:p w:rsidR="00881DF1" w:rsidRPr="00881DF1" w:rsidRDefault="00881DF1" w:rsidP="00AD59CB"/>
        </w:tc>
        <w:tc>
          <w:tcPr>
            <w:tcW w:w="0" w:type="auto"/>
            <w:vMerge/>
            <w:shd w:val="clear" w:color="auto" w:fill="95B3D7"/>
            <w:vAlign w:val="center"/>
          </w:tcPr>
          <w:p w:rsidR="00881DF1" w:rsidRPr="00881DF1" w:rsidRDefault="00881DF1" w:rsidP="00AD59CB"/>
        </w:tc>
        <w:tc>
          <w:tcPr>
            <w:tcW w:w="0" w:type="auto"/>
            <w:vMerge/>
            <w:shd w:val="clear" w:color="auto" w:fill="95B3D7"/>
            <w:vAlign w:val="center"/>
          </w:tcPr>
          <w:p w:rsidR="00881DF1" w:rsidRPr="0005437D" w:rsidRDefault="00881DF1" w:rsidP="00AD59CB">
            <w:pPr>
              <w:rPr>
                <w:szCs w:val="14"/>
              </w:rPr>
            </w:pPr>
          </w:p>
        </w:tc>
        <w:tc>
          <w:tcPr>
            <w:tcW w:w="0" w:type="auto"/>
            <w:shd w:val="clear" w:color="auto" w:fill="BDD6EE" w:themeFill="accent1" w:themeFillTint="66"/>
            <w:textDirection w:val="btLr"/>
            <w:vAlign w:val="center"/>
          </w:tcPr>
          <w:p w:rsidR="00881DF1" w:rsidRPr="0005437D" w:rsidRDefault="00881DF1" w:rsidP="00A822C7">
            <w:pPr>
              <w:ind w:left="113"/>
              <w:jc w:val="center"/>
              <w:rPr>
                <w:szCs w:val="14"/>
              </w:rPr>
            </w:pPr>
            <w:r w:rsidRPr="0005437D">
              <w:rPr>
                <w:szCs w:val="14"/>
              </w:rPr>
              <w:t>god. I</w:t>
            </w:r>
          </w:p>
        </w:tc>
        <w:tc>
          <w:tcPr>
            <w:tcW w:w="0" w:type="auto"/>
            <w:shd w:val="clear" w:color="auto" w:fill="BDD6EE" w:themeFill="accent1" w:themeFillTint="66"/>
            <w:textDirection w:val="btLr"/>
            <w:vAlign w:val="center"/>
          </w:tcPr>
          <w:p w:rsidR="00881DF1" w:rsidRPr="0005437D" w:rsidRDefault="00A822C7" w:rsidP="00A822C7">
            <w:pPr>
              <w:ind w:left="113"/>
              <w:jc w:val="center"/>
              <w:rPr>
                <w:szCs w:val="14"/>
              </w:rPr>
            </w:pPr>
            <w:r w:rsidRPr="0005437D">
              <w:rPr>
                <w:szCs w:val="14"/>
              </w:rPr>
              <w:t xml:space="preserve">god. </w:t>
            </w:r>
            <w:r w:rsidR="00881DF1" w:rsidRPr="0005437D">
              <w:rPr>
                <w:szCs w:val="14"/>
              </w:rPr>
              <w:t>II</w:t>
            </w:r>
          </w:p>
          <w:p w:rsidR="00881DF1" w:rsidRPr="0005437D" w:rsidRDefault="00881DF1" w:rsidP="00A822C7">
            <w:pPr>
              <w:jc w:val="center"/>
              <w:rPr>
                <w:szCs w:val="14"/>
              </w:rPr>
            </w:pPr>
          </w:p>
        </w:tc>
        <w:tc>
          <w:tcPr>
            <w:tcW w:w="0" w:type="auto"/>
            <w:shd w:val="clear" w:color="auto" w:fill="BDD6EE" w:themeFill="accent1" w:themeFillTint="66"/>
            <w:textDirection w:val="btLr"/>
            <w:vAlign w:val="center"/>
          </w:tcPr>
          <w:p w:rsidR="00881DF1" w:rsidRPr="0005437D" w:rsidRDefault="00A822C7" w:rsidP="00A822C7">
            <w:pPr>
              <w:ind w:left="113"/>
              <w:jc w:val="center"/>
              <w:rPr>
                <w:szCs w:val="14"/>
              </w:rPr>
            </w:pPr>
            <w:r w:rsidRPr="0005437D">
              <w:rPr>
                <w:szCs w:val="14"/>
              </w:rPr>
              <w:t>god. III</w:t>
            </w:r>
          </w:p>
        </w:tc>
        <w:tc>
          <w:tcPr>
            <w:tcW w:w="0" w:type="auto"/>
            <w:shd w:val="clear" w:color="auto" w:fill="BDD6EE" w:themeFill="accent1" w:themeFillTint="66"/>
            <w:textDirection w:val="btLr"/>
            <w:vAlign w:val="center"/>
          </w:tcPr>
          <w:p w:rsidR="00881DF1" w:rsidRPr="0005437D" w:rsidRDefault="00A822C7" w:rsidP="00A822C7">
            <w:pPr>
              <w:jc w:val="center"/>
              <w:rPr>
                <w:szCs w:val="14"/>
              </w:rPr>
            </w:pPr>
            <w:r w:rsidRPr="0005437D">
              <w:rPr>
                <w:szCs w:val="14"/>
              </w:rPr>
              <w:t xml:space="preserve">Ukupno </w:t>
            </w:r>
            <w:r w:rsidR="00881DF1" w:rsidRPr="0005437D">
              <w:rPr>
                <w:szCs w:val="14"/>
              </w:rPr>
              <w:t>(I+II+III)</w:t>
            </w:r>
          </w:p>
        </w:tc>
        <w:tc>
          <w:tcPr>
            <w:tcW w:w="0" w:type="auto"/>
            <w:shd w:val="clear" w:color="auto" w:fill="BDD6EE" w:themeFill="accent1" w:themeFillTint="66"/>
            <w:textDirection w:val="btLr"/>
            <w:vAlign w:val="center"/>
          </w:tcPr>
          <w:p w:rsidR="00881DF1" w:rsidRPr="0005437D" w:rsidRDefault="00881DF1" w:rsidP="00A822C7">
            <w:pPr>
              <w:ind w:left="113"/>
              <w:jc w:val="center"/>
              <w:rPr>
                <w:szCs w:val="14"/>
              </w:rPr>
            </w:pPr>
            <w:r w:rsidRPr="0005437D">
              <w:rPr>
                <w:szCs w:val="14"/>
              </w:rPr>
              <w:t>god. I</w:t>
            </w:r>
          </w:p>
        </w:tc>
        <w:tc>
          <w:tcPr>
            <w:tcW w:w="0" w:type="auto"/>
            <w:shd w:val="clear" w:color="auto" w:fill="BDD6EE" w:themeFill="accent1" w:themeFillTint="66"/>
            <w:textDirection w:val="btLr"/>
            <w:vAlign w:val="center"/>
          </w:tcPr>
          <w:p w:rsidR="00881DF1" w:rsidRPr="0005437D" w:rsidRDefault="00A822C7" w:rsidP="00A822C7">
            <w:pPr>
              <w:ind w:left="113"/>
              <w:jc w:val="center"/>
              <w:rPr>
                <w:szCs w:val="14"/>
              </w:rPr>
            </w:pPr>
            <w:r w:rsidRPr="0005437D">
              <w:rPr>
                <w:szCs w:val="14"/>
              </w:rPr>
              <w:t>god. II</w:t>
            </w:r>
          </w:p>
        </w:tc>
        <w:tc>
          <w:tcPr>
            <w:tcW w:w="0" w:type="auto"/>
            <w:shd w:val="clear" w:color="auto" w:fill="BDD6EE" w:themeFill="accent1" w:themeFillTint="66"/>
            <w:textDirection w:val="btLr"/>
            <w:vAlign w:val="center"/>
          </w:tcPr>
          <w:p w:rsidR="00881DF1" w:rsidRPr="0005437D" w:rsidRDefault="00A822C7" w:rsidP="00A822C7">
            <w:pPr>
              <w:ind w:left="113"/>
              <w:jc w:val="center"/>
              <w:rPr>
                <w:szCs w:val="14"/>
              </w:rPr>
            </w:pPr>
            <w:r w:rsidRPr="0005437D">
              <w:rPr>
                <w:szCs w:val="14"/>
              </w:rPr>
              <w:t>god. III</w:t>
            </w:r>
          </w:p>
        </w:tc>
        <w:tc>
          <w:tcPr>
            <w:tcW w:w="0" w:type="auto"/>
            <w:shd w:val="clear" w:color="auto" w:fill="BDD6EE" w:themeFill="accent1" w:themeFillTint="66"/>
            <w:textDirection w:val="btLr"/>
            <w:vAlign w:val="center"/>
          </w:tcPr>
          <w:p w:rsidR="00881DF1" w:rsidRPr="0005437D" w:rsidRDefault="00881DF1" w:rsidP="00A822C7">
            <w:pPr>
              <w:jc w:val="center"/>
              <w:rPr>
                <w:szCs w:val="14"/>
              </w:rPr>
            </w:pPr>
            <w:r w:rsidRPr="0005437D">
              <w:rPr>
                <w:szCs w:val="14"/>
              </w:rPr>
              <w:t>ukupno (I+II+III)</w:t>
            </w:r>
          </w:p>
        </w:tc>
        <w:tc>
          <w:tcPr>
            <w:tcW w:w="0" w:type="auto"/>
            <w:vMerge/>
            <w:shd w:val="clear" w:color="auto" w:fill="B8CCE4"/>
            <w:textDirection w:val="btLr"/>
            <w:vAlign w:val="center"/>
          </w:tcPr>
          <w:p w:rsidR="00881DF1" w:rsidRPr="00881DF1" w:rsidRDefault="00881DF1" w:rsidP="00AD59CB"/>
        </w:tc>
        <w:tc>
          <w:tcPr>
            <w:tcW w:w="0" w:type="auto"/>
            <w:vMerge/>
            <w:shd w:val="clear" w:color="auto" w:fill="B8CCE4"/>
            <w:textDirection w:val="btLr"/>
            <w:vAlign w:val="center"/>
          </w:tcPr>
          <w:p w:rsidR="00881DF1" w:rsidRPr="00881DF1" w:rsidRDefault="00881DF1" w:rsidP="00AD59CB"/>
        </w:tc>
        <w:tc>
          <w:tcPr>
            <w:tcW w:w="0" w:type="auto"/>
            <w:vMerge/>
            <w:shd w:val="clear" w:color="auto" w:fill="B8CCE4"/>
            <w:textDirection w:val="btLr"/>
            <w:vAlign w:val="center"/>
          </w:tcPr>
          <w:p w:rsidR="00881DF1" w:rsidRPr="00881DF1" w:rsidRDefault="00881DF1" w:rsidP="00AD59CB"/>
        </w:tc>
      </w:tr>
      <w:tr w:rsidR="00A37CE3" w:rsidRPr="00881DF1" w:rsidTr="00670037">
        <w:trPr>
          <w:trHeight w:val="64"/>
          <w:jc w:val="center"/>
        </w:trPr>
        <w:tc>
          <w:tcPr>
            <w:tcW w:w="0" w:type="auto"/>
            <w:shd w:val="clear" w:color="auto" w:fill="auto"/>
            <w:vAlign w:val="center"/>
          </w:tcPr>
          <w:p w:rsidR="00A37CE3" w:rsidRPr="00A37CE3" w:rsidRDefault="00A37CE3" w:rsidP="00A37CE3">
            <w:pPr>
              <w:rPr>
                <w:rFonts w:eastAsia="Times New Roman"/>
                <w:color w:val="000000"/>
                <w:sz w:val="16"/>
                <w:szCs w:val="16"/>
                <w:lang w:val="en-GB"/>
              </w:rPr>
            </w:pPr>
            <w:r w:rsidRPr="00A37CE3">
              <w:rPr>
                <w:color w:val="000000"/>
                <w:sz w:val="16"/>
                <w:szCs w:val="16"/>
              </w:rPr>
              <w:t>SC1/SEC1.1.</w:t>
            </w:r>
          </w:p>
        </w:tc>
        <w:tc>
          <w:tcPr>
            <w:tcW w:w="0" w:type="auto"/>
            <w:shd w:val="clear" w:color="auto" w:fill="auto"/>
          </w:tcPr>
          <w:p w:rsidR="00A37CE3" w:rsidRPr="00A37CE3" w:rsidRDefault="00A37CE3" w:rsidP="00A37CE3">
            <w:pPr>
              <w:rPr>
                <w:bCs/>
                <w:color w:val="000000"/>
                <w:sz w:val="16"/>
                <w:szCs w:val="16"/>
              </w:rPr>
            </w:pPr>
            <w:r w:rsidRPr="00A37CE3">
              <w:rPr>
                <w:bCs/>
                <w:color w:val="000000"/>
                <w:sz w:val="16"/>
                <w:szCs w:val="16"/>
              </w:rPr>
              <w:t>P.1.1.1.1  Jačanje konkurentnosti na tržistu rada kroz stručno osposobljavanje</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Najmanje 30 volontera su, nakon volonterskog rada, stekli stalno zaposlenje do 2022. godine; · Najmanje 20 osoba su, nakon učešća u programu prekvalifikacije ili dokvalifikacije, stekle stalno zaposlenje do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privredu i budžet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left"/>
              <w:rPr>
                <w:color w:val="000000"/>
                <w:sz w:val="16"/>
                <w:szCs w:val="16"/>
              </w:rPr>
            </w:pPr>
            <w:r w:rsidRPr="00A37CE3">
              <w:rPr>
                <w:color w:val="000000"/>
                <w:sz w:val="16"/>
                <w:szCs w:val="16"/>
              </w:rPr>
              <w:t>SC1/SEC1.1.</w:t>
            </w:r>
          </w:p>
        </w:tc>
        <w:tc>
          <w:tcPr>
            <w:tcW w:w="0" w:type="auto"/>
            <w:shd w:val="clear" w:color="auto" w:fill="auto"/>
          </w:tcPr>
          <w:p w:rsidR="00A37CE3" w:rsidRPr="00A37CE3" w:rsidRDefault="00A37CE3" w:rsidP="00A37CE3">
            <w:pPr>
              <w:rPr>
                <w:bCs/>
                <w:color w:val="000000"/>
                <w:sz w:val="16"/>
                <w:szCs w:val="16"/>
              </w:rPr>
            </w:pPr>
            <w:r w:rsidRPr="00A37CE3">
              <w:rPr>
                <w:bCs/>
                <w:color w:val="000000"/>
                <w:sz w:val="16"/>
                <w:szCs w:val="16"/>
              </w:rPr>
              <w:t>P 1.1.1.2. Projekti izgradnje u infrastrukturama Vukovije Gornje 3 zone, Petrovačko polje, Krušik 2 zone, Tojšići, Kalesija grad, Ćeteništa, Memići 2 zone</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Najmanje po 1 novo preduzeće započelo rad u svakoj uređenoj poslovnoj zoni od 2017. do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900,000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900,000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900,000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Ostalo</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SC1/SEC1.1.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 xml:space="preserve">P 1.1.1.3. Podrška </w:t>
            </w:r>
            <w:r w:rsidRPr="00A37CE3">
              <w:rPr>
                <w:bCs/>
                <w:color w:val="000000"/>
                <w:sz w:val="16"/>
                <w:szCs w:val="16"/>
              </w:rPr>
              <w:lastRenderedPageBreak/>
              <w:t>mladim putem stipendiranja i kreditiranja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lastRenderedPageBreak/>
              <w:t xml:space="preserve">Najmanje 20 mladih osoba, </w:t>
            </w:r>
            <w:r w:rsidRPr="00A37CE3">
              <w:rPr>
                <w:color w:val="000000"/>
                <w:sz w:val="16"/>
                <w:szCs w:val="16"/>
              </w:rPr>
              <w:lastRenderedPageBreak/>
              <w:t xml:space="preserve">koje posjeduju kvalifikacije u deficitarnim zanimanjima, stekle su stalno zaposlenje u periodu 2017.-2022. godina · Najmanje 20 stipendiranih i kreditiranih studenata/ učenika, su po završetku školovanja stekli stalno zaposlenje u periodu </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lastRenderedPageBreak/>
              <w:t xml:space="preserve">400,000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Općina </w:t>
            </w:r>
            <w:r w:rsidRPr="00A37CE3">
              <w:rPr>
                <w:color w:val="000000"/>
                <w:sz w:val="16"/>
                <w:szCs w:val="16"/>
              </w:rPr>
              <w:lastRenderedPageBreak/>
              <w:t>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Služba za </w:t>
            </w:r>
            <w:r w:rsidRPr="00A37CE3">
              <w:rPr>
                <w:color w:val="000000"/>
                <w:sz w:val="16"/>
                <w:szCs w:val="16"/>
              </w:rPr>
              <w:lastRenderedPageBreak/>
              <w:t>opću upravu i društvene djelatnosti</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SC1/SEC1.1.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1.1.1.4. Projekat neformalnog obrazovanja omladine i odraslih</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Najmanje 10 osoba, koje su pohađale program neformalnog obrazovanja u periodu od osnivanja institucije do kraja 2022. godine, steklo stalno zaposlenje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18,000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9,000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9,000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 Donatori</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djelatnosti</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SC1/SEC1.2.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1.2.1.1. Organizovanje edukacija i događaja sa ciljem animiranja poljoprivrednika i unapređenja poljoprivredne djelatnosti</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Broj registrovanih poljoprivrednih gazdinstava povećan za 7% do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privredu i budžet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SC1/SEC1.2.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1.2.1.2. Projekat edukacije u oblasti proizvodnje voća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Površina poljoprivrednog zemljišta pod (aktivnim) voćnjacima povećana za 5% do 2022. godine u odnosu na 2017. godinu; · Broj sadnica voćki povećan za 10% do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9,000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9,000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privredu i budžet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SC1/SEC1.2.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1.2.1.3. Edukativno – ekonomski projekat u oblasti voćarstva - RASADNIK</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Površina poljoprivrednog zemljišta pod (aktivnim) voćnjacima povećana za 5% do 2022. godine u odnosu na 2017. godinu; · Broj sadnica voćki povećan za 10% do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90,000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60,000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 Ostalo</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privredu i budžet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SC1/SEC1.2.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 xml:space="preserve">P 1.2.1.4. Projekti edukacije poljoprivrednika i privrednika u </w:t>
            </w:r>
            <w:r w:rsidRPr="00A37CE3">
              <w:rPr>
                <w:bCs/>
                <w:color w:val="000000"/>
                <w:sz w:val="16"/>
                <w:szCs w:val="16"/>
              </w:rPr>
              <w:lastRenderedPageBreak/>
              <w:t>oblasti novih tehnologija i propisa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lastRenderedPageBreak/>
              <w:t xml:space="preserve">Broj registrovanih poljoprivrednih gazdinstava povećan za 7% do 2022. godine u odnosu na 2017. </w:t>
            </w:r>
            <w:r w:rsidRPr="00A37CE3">
              <w:rPr>
                <w:color w:val="000000"/>
                <w:sz w:val="16"/>
                <w:szCs w:val="16"/>
              </w:rPr>
              <w:lastRenderedPageBreak/>
              <w:t>godinu Broj registrovanih obrta i privrednih društava povećan za 4 % do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lastRenderedPageBreak/>
              <w:t xml:space="preserve">9,000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9,000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privredu i budžet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SC1/SEC1.2.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1.2.2.1 Projekti plasteničke proizvodnje povrća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Broj registrovanih poljoprivrednih gazdinstava povećan za 10% do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75,000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75,000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 Ostalo</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privredu i budžet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SC1/SEC1.2.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1.2.2.2 Izgradnja infrastrukture sa ciljem unapređenja otkupa voća i povrća - HLADNJAČA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Povećan udio poljoprivrednih proizvoda koji se uspješno plasira na tržištu za 30% u 2022. godini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200,000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40,000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80,000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 ; Drzava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privredu i budžet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SC1/SEC1.2.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1.2.3.1 Uređenje poljoprivrednog zemljišta sa ciljem stvaranja uslova za unapređenje poljoprivredne proizvodnje</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U poljoprivrednoj proizvodnji zastupljeno najmanje 10 novih poljoprivrednih kultura do 2022. godine u odnosu na 2017. Godinu · Broj registrovanih poljoprivrednih gazdinstava povećan za 4% do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240,000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80,000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80,000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80,000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240,000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Kanton</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privredu i budžet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SC1/SEC1.2.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1.2.3.2 Projekat izgradnje Sistema za navodnjavanje</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Ukupni godišnji prinosi u poljoprivredi povećani za 25% u 2022. godini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1,200,000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393,333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393,333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393,334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1,180,000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Donatori</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privredu i budžet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SC1/SEC1.3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1.3.1.1 IFAD Projekat</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Ukupni godišnji prinosi u poljoprivredi povećani za 25% u2022. godini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 Donatori</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privredu i budžet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SC1/SEC1.3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1.3.1.2 Projekat izrade studije o mineralnim resursima Općine Kalesija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Pokretnuta najmanje jedna investicija u oblasti eksploatacije mineralnih resursa do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privredu i budžet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SC1/SEC1.3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 xml:space="preserve">P 1.3.2.1 Projekat </w:t>
            </w:r>
            <w:r w:rsidRPr="00A37CE3">
              <w:rPr>
                <w:bCs/>
                <w:color w:val="000000"/>
                <w:sz w:val="16"/>
                <w:szCs w:val="16"/>
              </w:rPr>
              <w:lastRenderedPageBreak/>
              <w:t>– Pokretanje biznis centar za mlade u oblasti Informacionih tehnologija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lastRenderedPageBreak/>
              <w:t xml:space="preserve">Formirano i pokrenuto </w:t>
            </w:r>
            <w:r w:rsidRPr="00A37CE3">
              <w:rPr>
                <w:color w:val="000000"/>
                <w:sz w:val="16"/>
                <w:szCs w:val="16"/>
              </w:rPr>
              <w:lastRenderedPageBreak/>
              <w:t>najmanje 5 startup biznisa u okviru biznis centra za mlade do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lastRenderedPageBreak/>
              <w:t xml:space="preserve">110,000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90,000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Općina </w:t>
            </w:r>
            <w:r w:rsidRPr="00A37CE3">
              <w:rPr>
                <w:color w:val="000000"/>
                <w:sz w:val="16"/>
                <w:szCs w:val="16"/>
              </w:rPr>
              <w:lastRenderedPageBreak/>
              <w:t>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 xml:space="preserve">JLS; </w:t>
            </w:r>
            <w:r w:rsidRPr="00A37CE3">
              <w:rPr>
                <w:color w:val="000000"/>
                <w:sz w:val="16"/>
                <w:szCs w:val="16"/>
              </w:rPr>
              <w:lastRenderedPageBreak/>
              <w:t>Ostalo</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 xml:space="preserve">Služba za </w:t>
            </w:r>
            <w:r w:rsidRPr="00A37CE3">
              <w:rPr>
                <w:color w:val="000000"/>
                <w:sz w:val="16"/>
                <w:szCs w:val="16"/>
              </w:rPr>
              <w:lastRenderedPageBreak/>
              <w:t>privredu i budžet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SC1/SEC1.3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1.3.2.2 Projekat animiranja dijaspore sa ciljem novih ulaganja na području općine Kalesija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Pokrenuto najmanje 10 novih investicija od strane predstavnika dijaspore do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SC1/SEC1.4</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1.4.1.1. Uspostavljanje registra i kategorizacija kulturno-historijskog naslijeđa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Na osnovu informacija iz registra, pokrenuto najmanje 5 projekata za zaštitu kulturno-historijskog naslijeđa do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18,000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9,000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9,000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 Kanton; Država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djelatnosti</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SC1/SEC1.4</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1.4.1.2 Promocija turizma i kulturno-historijskog naslijeđa općine Kalesija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Broj turista povećan za 10% u 2022. godini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6,000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14,000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JLS; Kanton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djelatnosti</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SC1/SEC1.4</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1.4.2.1 Projekat uređenja lokaliteta sa kulturno – historijskim naslijeđem (DUBNICA)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Broj turista povećan za 10% u 2022. godini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Donatori</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SC1/SEC1.4</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1.4.2.2. Projekat uređenja lokaliteta “SPREČA” I “VIS” u funkciji povećanja turističke ponude</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Broj turista povećan za 10% u 2022. godini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80,000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SC1/SEC1.4</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 xml:space="preserve">P 1.4.2.3. Projekat izgradnje Turističko – ugostiteljskog </w:t>
            </w:r>
            <w:r w:rsidRPr="00A37CE3">
              <w:rPr>
                <w:bCs/>
                <w:color w:val="000000"/>
                <w:sz w:val="16"/>
                <w:szCs w:val="16"/>
              </w:rPr>
              <w:lastRenderedPageBreak/>
              <w:t>projekta “ADRENALIN PARK VIS”</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lastRenderedPageBreak/>
              <w:t>Broj turista povećan za 10% u 2022. godini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336,000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90,000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82,000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82,000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82,000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246,000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 Ostalo</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SC2/SEC2.1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2.1.1.1. Razvoj, održavanje i poboljšanje sistema upravljanja kvalitetom u skladu sa standardom BAS EN ISO 9001:2000</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Uspostavljene sve strukture i sistemi za internu kontrolu kvaliteta svih administrativnih usluga do kraja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2.1.1.2. Poboljšanje upravljanja ljudskim resursima</w:t>
            </w:r>
          </w:p>
        </w:tc>
        <w:tc>
          <w:tcPr>
            <w:tcW w:w="0" w:type="auto"/>
            <w:shd w:val="clear" w:color="auto" w:fill="auto"/>
          </w:tcPr>
          <w:p w:rsidR="00A37CE3" w:rsidRPr="00A37CE3" w:rsidRDefault="00A37CE3" w:rsidP="00A37CE3">
            <w:pPr>
              <w:rPr>
                <w:color w:val="00000A"/>
                <w:sz w:val="16"/>
                <w:szCs w:val="16"/>
              </w:rPr>
            </w:pPr>
            <w:r w:rsidRPr="00A37CE3">
              <w:rPr>
                <w:color w:val="00000A"/>
                <w:sz w:val="16"/>
                <w:szCs w:val="16"/>
              </w:rPr>
              <w:t>Povećana prosječna ocjena rada uposlenika u 2022. godini za 10% u odnosu na 2018.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26,700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13,300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13,400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26,700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djelatnosti</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2.1.1.3. Projekat osnivanja kancelarije za privrednike i dijasporu</w:t>
            </w:r>
          </w:p>
        </w:tc>
        <w:tc>
          <w:tcPr>
            <w:tcW w:w="0" w:type="auto"/>
            <w:shd w:val="clear" w:color="auto" w:fill="auto"/>
          </w:tcPr>
          <w:p w:rsidR="00A37CE3" w:rsidRPr="00A37CE3" w:rsidRDefault="00A37CE3" w:rsidP="00A37CE3">
            <w:pPr>
              <w:rPr>
                <w:color w:val="00000A"/>
                <w:sz w:val="16"/>
                <w:szCs w:val="16"/>
              </w:rPr>
            </w:pPr>
            <w:r w:rsidRPr="00A37CE3">
              <w:rPr>
                <w:color w:val="00000A"/>
                <w:sz w:val="16"/>
                <w:szCs w:val="16"/>
              </w:rPr>
              <w:t>Za minimalno 30 poduzetnika i predstavnika dijaspore godišnje se pružaju relevantne informacije o mogućnostima ulaganja, mjerno u periodu nakon uspostave kancelarije za privrednike i dijasporu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52,000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16,000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16,000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32,000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 Ostalo</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2.2.1.1. Uvođenje nove informacijsko-komunikacijske tehnologije</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Uvedeno 10 novih administrativnih usluga za građane i privrednike do kraja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djelatnosti</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2.2.1.2. Stvaranje prostornih, tehničkih i materijalnih uslova za efikasan rad općinskih službi</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Uvedeno 10 novih administrativnih usluga za građane i privrednike do kraja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180,000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60,000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60,000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60,000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180,000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djelatnosti</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 xml:space="preserve">P 2.2.1.3. Projekat uređenja prostorija MZ-a – mjesnih ureda, poboljšanje </w:t>
            </w:r>
            <w:r w:rsidRPr="00A37CE3">
              <w:rPr>
                <w:bCs/>
                <w:color w:val="000000"/>
                <w:sz w:val="16"/>
                <w:szCs w:val="16"/>
              </w:rPr>
              <w:lastRenderedPageBreak/>
              <w:t>uslova rada u MZ i izgradnja pristupnih rampi za invalide</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lastRenderedPageBreak/>
              <w:t>Za 1100 sa invaliditetom olakšan pristup javnim objektima u MZ (mjesnim uredima) do kraja 2022. godine</w:t>
            </w:r>
            <w:r w:rsidRPr="00A37CE3">
              <w:rPr>
                <w:color w:val="000000"/>
                <w:sz w:val="16"/>
                <w:szCs w:val="16"/>
              </w:rPr>
              <w:br/>
            </w:r>
            <w:r w:rsidRPr="00A37CE3">
              <w:rPr>
                <w:color w:val="000000"/>
                <w:sz w:val="16"/>
                <w:szCs w:val="16"/>
              </w:rPr>
              <w:lastRenderedPageBreak/>
              <w:t>Za 1100 sa invaliditetom olakšan pristup javnim objektima u MZ (mjesnim uredima) do kraja 2022. godine;• Kvalitetiji pristup građanstvu u pogledu pružanja usluga</w:t>
            </w:r>
            <w:r w:rsidRPr="00A37CE3">
              <w:rPr>
                <w:color w:val="000000"/>
                <w:sz w:val="16"/>
                <w:szCs w:val="16"/>
              </w:rPr>
              <w:br/>
              <w:t>• Olakšan pristup osobama sa invaliditetom u javne objekte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lastRenderedPageBreak/>
              <w:t xml:space="preserve">150,000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djelatnosti</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2.2.1.1. Projekat završetka sportske dvorane</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Broj sportskih klubova povećan za 10% do kraja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1,980,000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510,000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510,000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510,000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 Ostalo</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2.2.1.2. Projekat izgradnje novih, sanacija i opremanje postojećih sportskih poligona u svim MZ</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Broj sportskih klubova povećan za 10% do kraja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300,000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 Ostalo</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2.2.1.3. Uspostava godišnjeg kalendara kulturnih i sportskih manifestacija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 xml:space="preserve">Realizovano 15 % višekulturnih i sportskih manifestacija godišnje, u skladu sa kalendarom manifestacija, do kraja 2022. godine </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3,000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djelatnosti</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2.2.1.4. Projekat pomoći i podrške udruženjima građana putem objavljivanja javnog poziva za projekte, prema utvrđenim kriterijima sa fokusom na razvoj kulture I sporta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 xml:space="preserve">Broj aktivnih udruženja građana na području općine povećan za 10% do kraja 2022. godine u odnosu na 2017. godinuBroj volontera, angažovanih na projektima udruženja građana na području općine, povećan za 30% godišnje mjereno 2022. godine u odnosu na 2017. godinu  Broj volontera, angažovanih na projektima udruženja građana na području općine, povećan za 30% godišnje mjereno 2022. godine u odnosu na 2017. </w:t>
            </w:r>
            <w:r w:rsidRPr="00A37CE3">
              <w:rPr>
                <w:color w:val="000000"/>
                <w:sz w:val="16"/>
                <w:szCs w:val="16"/>
              </w:rPr>
              <w:lastRenderedPageBreak/>
              <w:t>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lastRenderedPageBreak/>
              <w:t xml:space="preserve">150,000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djelatnosti</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2.2.1.5. Projekat izgradnje gradskog bazena-I faza;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Najmanje 3000 djece/ omladine/ građana koriste bazen nakon izgradnje i stavljanja u funkciju bazena, počev od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90,000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90,000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2.2.1.6. Projekat izgradnje sportskog poligona zatvorenog tipa sa umjetnom travom.</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600 školske djece (ili građana) se bavi sportom u zimskom periodu svake godine nakon izgradnje poligona, počev od 2020.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Ostalo</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2.2.1.7. Izmještanje gradskog fudbaskog stadiona (I faza: rješavanje imovinsko-pravnih odnosa)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 xml:space="preserve"> Izgrađen gradski stadion površine 10.000m2</w:t>
            </w:r>
            <w:r w:rsidRPr="00A37CE3">
              <w:rPr>
                <w:color w:val="000000"/>
                <w:sz w:val="16"/>
                <w:szCs w:val="16"/>
              </w:rPr>
              <w:br/>
              <w:t>Nabavljena oprema za fudbal I atletiku;Gradski fudbalski klub organizuje 10% više treninga u toku godine na novom stadionu, nakon izgradnje stadiona, počev od 2025.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300,000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Ostalo</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SEC2/SEC2.2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2.2.2.1. Projekat izgradnje novog školskog objekta sa obdaništem i sportskom dvoranom u Kalesiji (OŠ Kalesija);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 xml:space="preserve">Prosječno 100 djece predškolskog uzrasta koristi obdanište godišnje, nakon izgradnje objekta, do kraja 2022. godine; </w:t>
            </w:r>
            <w:r w:rsidRPr="00A37CE3">
              <w:rPr>
                <w:color w:val="000000"/>
                <w:sz w:val="16"/>
                <w:szCs w:val="16"/>
              </w:rPr>
              <w:br/>
              <w:t>Prosječno 800 školske djece koristi sportski poligon u toku godine za nastavu tjelesnog odgoja i vannastavne aktivnosti, nakon izgradnje objekta, do kraja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2,400,000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2,400,000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Donatori</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left"/>
              <w:rPr>
                <w:color w:val="000000"/>
                <w:sz w:val="16"/>
                <w:szCs w:val="16"/>
              </w:rPr>
            </w:pPr>
            <w:r w:rsidRPr="00A37CE3">
              <w:rPr>
                <w:color w:val="000000"/>
                <w:sz w:val="16"/>
                <w:szCs w:val="16"/>
              </w:rPr>
              <w:t>SC2/SEC2.2</w:t>
            </w:r>
          </w:p>
        </w:tc>
        <w:tc>
          <w:tcPr>
            <w:tcW w:w="0" w:type="auto"/>
            <w:shd w:val="clear" w:color="auto" w:fill="auto"/>
          </w:tcPr>
          <w:p w:rsidR="00A37CE3" w:rsidRPr="00A37CE3" w:rsidRDefault="00A37CE3" w:rsidP="00A37CE3">
            <w:pPr>
              <w:rPr>
                <w:bCs/>
                <w:color w:val="000000"/>
                <w:sz w:val="16"/>
                <w:szCs w:val="16"/>
              </w:rPr>
            </w:pPr>
            <w:r w:rsidRPr="00A37CE3">
              <w:rPr>
                <w:bCs/>
                <w:color w:val="000000"/>
                <w:sz w:val="16"/>
                <w:szCs w:val="16"/>
              </w:rPr>
              <w:t>P 2.2.2.2. Rekonstrukcija i sanacija krovova školskih objekata u OŠ Rainci Gornji, OŠ Tojšići, OŠ Vukovije, OŠ Memići</w:t>
            </w:r>
          </w:p>
        </w:tc>
        <w:tc>
          <w:tcPr>
            <w:tcW w:w="0" w:type="auto"/>
            <w:shd w:val="clear" w:color="auto" w:fill="auto"/>
          </w:tcPr>
          <w:p w:rsidR="00A37CE3" w:rsidRPr="00A37CE3" w:rsidRDefault="00A37CE3" w:rsidP="00A37CE3">
            <w:pPr>
              <w:rPr>
                <w:color w:val="00000A"/>
                <w:sz w:val="16"/>
                <w:szCs w:val="16"/>
              </w:rPr>
            </w:pPr>
            <w:r w:rsidRPr="00A37CE3">
              <w:rPr>
                <w:color w:val="00000A"/>
                <w:sz w:val="16"/>
                <w:szCs w:val="16"/>
              </w:rPr>
              <w:t>Školske prostorije u prosjeku toplije za 30% u zimskom periodu do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320,000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90,000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290,000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 Kanton</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 xml:space="preserve">P 2.2.2.3. </w:t>
            </w:r>
            <w:r w:rsidRPr="00A37CE3">
              <w:rPr>
                <w:bCs/>
                <w:color w:val="000000"/>
                <w:sz w:val="16"/>
                <w:szCs w:val="16"/>
              </w:rPr>
              <w:lastRenderedPageBreak/>
              <w:t>Izgradnja područne škole Rainci Donji (OŠ Rainci Gornji)</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lastRenderedPageBreak/>
              <w:t xml:space="preserve">U prosjeku, u toku svake </w:t>
            </w:r>
            <w:r w:rsidRPr="00A37CE3">
              <w:rPr>
                <w:color w:val="000000"/>
                <w:sz w:val="16"/>
                <w:szCs w:val="16"/>
              </w:rPr>
              <w:lastRenderedPageBreak/>
              <w:t xml:space="preserve">školske godine,100 djece ne pješači više od 3 km do škole, u periodu od izgradnje škole do 2022. godine </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lastRenderedPageBreak/>
              <w:t xml:space="preserve">186,000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186,000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186,000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Općina </w:t>
            </w:r>
            <w:r w:rsidRPr="00A37CE3">
              <w:rPr>
                <w:color w:val="000000"/>
                <w:sz w:val="16"/>
                <w:szCs w:val="16"/>
              </w:rPr>
              <w:lastRenderedPageBreak/>
              <w:t>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Donatori</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Općinski </w:t>
            </w:r>
            <w:r w:rsidRPr="00A37CE3">
              <w:rPr>
                <w:color w:val="000000"/>
                <w:sz w:val="16"/>
                <w:szCs w:val="16"/>
              </w:rPr>
              <w:lastRenderedPageBreak/>
              <w:t>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2.2.2.4. Utopljavanje postojećih školskih objekata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Školske prostorije u prosjeku toplije za 30% u zimskom periodu do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1,000,000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40,000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900,000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 Kanton</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2.2.2.5. Osnivanje odjeljenja osnovne muzičke škole pri OŠ Kalesija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 xml:space="preserve">Najmanje 20 učenika uspješno završi muzičku školu svake godine od osnivanja muzičke škole </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bottom"/>
          </w:tcPr>
          <w:p w:rsidR="00A37CE3" w:rsidRPr="00A37CE3" w:rsidRDefault="00A37CE3" w:rsidP="00A37CE3">
            <w:pPr>
              <w:jc w:val="center"/>
              <w:rPr>
                <w:color w:val="000000"/>
                <w:sz w:val="16"/>
                <w:szCs w:val="16"/>
              </w:rPr>
            </w:pPr>
            <w:r w:rsidRPr="00A37CE3">
              <w:rPr>
                <w:color w:val="000000"/>
                <w:sz w:val="16"/>
                <w:szCs w:val="16"/>
              </w:rPr>
              <w:t>Služba za opću upravu i društvene djelatnost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2.2.3.1. Prostorno proširenje BKC-a za potrebe biblioteke</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Povećan broj članova biblioteke za 15% do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90,000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90,000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P2.2.3.2. Mobilna biblioteka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Povećan broj članova biblioteke za 15% do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2.2.3.3. Međunarodna smotra folklora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Povećan broj učesnika smotre (kulturno-umjetničkih društava) za 10% do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25,000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8,333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8,333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8,333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P2.2.3.4. Projekat održavanja kulturno-sportskih manifestacija po mjesnim zajednicama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Najmanje 10 (misli se na pravne subjekte, a ne na pojedince: NVO, KUD-ovi, ustanove,MZ...)organizatora i učesnika se uključuje u manifestacije svake godine u periodu 2017-2022. godina</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22,000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7,333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7,333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7,333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22,000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P2.2.3.5. Kulturna manifestacija Ikre</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Povećan broj učesnika manifestacije za 10% do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6,667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6,667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6,667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Služba za opću upravu i društvene </w:t>
            </w:r>
            <w:r w:rsidRPr="00A37CE3">
              <w:rPr>
                <w:color w:val="000000"/>
                <w:sz w:val="16"/>
                <w:szCs w:val="16"/>
              </w:rPr>
              <w:lastRenderedPageBreak/>
              <w:t>djelatnost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P2.2.3.6. Pozorišni festival</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Povećan broj predstava za 20% do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6,667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6,667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6,667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P2.2.3.7. Tradicionalni festivali: Kalesijsko i Tojšićko ljeto</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Povećan ukupan broj učesnika festivala za 10% do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2.2.3.8. Festival izvorne muzike</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Povećan ukupan broj učesnika festivala za 20% do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2.2.3.9. Projekat osnivanja zavičajnog muzeja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Broj posjetilaca muzeja povećava se svake godine za 5%, mjereno od godine u kojoj muzej počne sa radom</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djelatnost</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2.3.1.1.   Projekat izgradnje ambulante u Tojšićima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Kvalitetnija i pristupačnija zdravstvena zaštita osigurana za 6000 građana, koji gravitiraju ambulanti u Tojšićima, do kraja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280,000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93,333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93,333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93,333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280,000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2.3.1.2.  Projekat izgradnje ambulante u MZ Vukovije Donje</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Kvalitetnija i pristupačnija zdravstvena zaštita osigurana za 4000 građana, koji gravitiraju ambulanti u MZ Vukovije Donje, do kraja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180,000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60,000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60,000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60,000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180,000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2.3.2.1.  Izgradnja objekata za socijalno stanovanje</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79 osoba (ili porodica) – socijalnih kategorija žive u humanijim uslovima do kraja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1,680,000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560,000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560,000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560,000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1,680,000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Donatori</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 xml:space="preserve">P 2.3.2.2. Projekat evidencije Romske populacije i </w:t>
            </w:r>
            <w:r w:rsidRPr="00A37CE3">
              <w:rPr>
                <w:bCs/>
                <w:color w:val="000000"/>
                <w:sz w:val="16"/>
                <w:szCs w:val="16"/>
              </w:rPr>
              <w:lastRenderedPageBreak/>
              <w:t>njihovih potreba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lastRenderedPageBreak/>
              <w:t xml:space="preserve">Realizovan najmanje 1 projekat godišnje za poboljšanje uslova življenja Romske populacije, u skladu sa snimljenim </w:t>
            </w:r>
            <w:r w:rsidRPr="00A37CE3">
              <w:rPr>
                <w:color w:val="000000"/>
                <w:sz w:val="16"/>
                <w:szCs w:val="16"/>
              </w:rPr>
              <w:lastRenderedPageBreak/>
              <w:t>potrebama ove populacije, počev od 2018. godine (od kreiranja baze podataka)</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lastRenderedPageBreak/>
              <w:t xml:space="preserve">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1,667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1,667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1,667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Služba za opću upravu i društvene </w:t>
            </w:r>
            <w:r w:rsidRPr="00A37CE3">
              <w:rPr>
                <w:color w:val="000000"/>
                <w:sz w:val="16"/>
                <w:szCs w:val="16"/>
              </w:rPr>
              <w:lastRenderedPageBreak/>
              <w:t>djelatnosi</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SC2/SEC2.3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2.3.2.3. Projekat jednokratne novčane pomoći u novcu i naturalnim davanjima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Najmanje 380 socijalno ugroženih građana – korisnika novčane pomoći i naturalnih davanja riješi po jedan problem godišnje, zahvaljujući primljenoj pomoći, u periodu 2018-2022. godina</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60,000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60,000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djelatnosi</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2.3.2.4. Izrada projekta socijalne karte za općinu Kalesija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Realizovan najmanje 1 projekat godišnje za poboljšanje uslova življenja socijalno ugroženih građana, u skladu sa socijalnom kartom, počev od 2020. godine (nakon izrade socijalne karte)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147,667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33,333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33,334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66,667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27,000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27,000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27,000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81,000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 Kanton</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djelatnosi</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2.3.2.5. Projekat dnevne brige za stara lica bez porodičnog staranja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Najmanje 110 starih osoba  – socijalnih kategorija žive u humanijim uslovima do kraja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45,000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djelatnosi</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SC2/SEC2.3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2.3.2.6. Projekat kućna njega i pomoć u kući</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Najmanje 300 lica u stanju potrebe za kućnom njegomžive u humanijim uslovima do kraja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18,000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6,000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6,000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6,000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18,000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Služba za opću upravu i društvene djelatnosi</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3.1.1.1. Izgradnja put Kalesija Gornja - Drvenice</w:t>
            </w:r>
          </w:p>
        </w:tc>
        <w:tc>
          <w:tcPr>
            <w:tcW w:w="0" w:type="auto"/>
            <w:shd w:val="clear" w:color="auto" w:fill="auto"/>
          </w:tcPr>
          <w:p w:rsidR="00A37CE3" w:rsidRPr="00A37CE3" w:rsidRDefault="00A37CE3" w:rsidP="00A37CE3">
            <w:pPr>
              <w:rPr>
                <w:sz w:val="16"/>
                <w:szCs w:val="16"/>
              </w:rPr>
            </w:pPr>
            <w:r w:rsidRPr="00A37CE3">
              <w:rPr>
                <w:sz w:val="16"/>
                <w:szCs w:val="16"/>
              </w:rPr>
              <w:t>Asfaltirani put svakodnevno koristi 300 građana počev od 2020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1,710,000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570,000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570,000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570,000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1,710,000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Država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3.1.1.2.  Izgradnja puta Kalesija - Krivača</w:t>
            </w:r>
          </w:p>
        </w:tc>
        <w:tc>
          <w:tcPr>
            <w:tcW w:w="0" w:type="auto"/>
            <w:shd w:val="clear" w:color="auto" w:fill="auto"/>
          </w:tcPr>
          <w:p w:rsidR="00A37CE3" w:rsidRPr="00A37CE3" w:rsidRDefault="00A37CE3" w:rsidP="00A37CE3">
            <w:pPr>
              <w:rPr>
                <w:color w:val="000000"/>
                <w:sz w:val="16"/>
                <w:szCs w:val="16"/>
              </w:rPr>
            </w:pPr>
            <w:r w:rsidRPr="00A37CE3">
              <w:rPr>
                <w:color w:val="000000"/>
                <w:sz w:val="16"/>
                <w:szCs w:val="16"/>
              </w:rPr>
              <w:t>Za 500 građana omogućen bolji i efikasniji pristup poljoprivrednom zemljištu, postojećim privrednim subjektima i kvalitetnija povezanost sa općinom Živinice počev od 2019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568,000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156,000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156,000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156,000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468,000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 Država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 xml:space="preserve">P3.1.1.3. </w:t>
            </w:r>
            <w:r w:rsidRPr="00A37CE3">
              <w:rPr>
                <w:bCs/>
                <w:color w:val="000000"/>
                <w:sz w:val="16"/>
                <w:szCs w:val="16"/>
              </w:rPr>
              <w:lastRenderedPageBreak/>
              <w:t>Izgradnja obilaznice u Kalesija Gradu.</w:t>
            </w:r>
          </w:p>
        </w:tc>
        <w:tc>
          <w:tcPr>
            <w:tcW w:w="0" w:type="auto"/>
            <w:shd w:val="clear" w:color="auto" w:fill="auto"/>
          </w:tcPr>
          <w:p w:rsidR="00A37CE3" w:rsidRPr="00A37CE3" w:rsidRDefault="00A37CE3" w:rsidP="00A37CE3">
            <w:pPr>
              <w:rPr>
                <w:sz w:val="16"/>
                <w:szCs w:val="16"/>
              </w:rPr>
            </w:pPr>
            <w:r w:rsidRPr="00A37CE3">
              <w:rPr>
                <w:sz w:val="16"/>
                <w:szCs w:val="16"/>
              </w:rPr>
              <w:lastRenderedPageBreak/>
              <w:t xml:space="preserve">Obilaznicu svakodnevno </w:t>
            </w:r>
            <w:r w:rsidRPr="00A37CE3">
              <w:rPr>
                <w:sz w:val="16"/>
                <w:szCs w:val="16"/>
              </w:rPr>
              <w:lastRenderedPageBreak/>
              <w:t>koristi 400 građana počev od 2020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lastRenderedPageBreak/>
              <w:t xml:space="preserve">1,000,000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600,000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Općina </w:t>
            </w:r>
            <w:r w:rsidRPr="00A37CE3">
              <w:rPr>
                <w:color w:val="000000"/>
                <w:sz w:val="16"/>
                <w:szCs w:val="16"/>
              </w:rPr>
              <w:lastRenderedPageBreak/>
              <w:t>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 xml:space="preserve">JLS; </w:t>
            </w:r>
            <w:r w:rsidRPr="00A37CE3">
              <w:rPr>
                <w:color w:val="000000"/>
                <w:sz w:val="16"/>
                <w:szCs w:val="16"/>
              </w:rPr>
              <w:lastRenderedPageBreak/>
              <w:t>Država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 xml:space="preserve">Općinski </w:t>
            </w:r>
            <w:r w:rsidRPr="00A37CE3">
              <w:rPr>
                <w:color w:val="000000"/>
                <w:sz w:val="16"/>
                <w:szCs w:val="16"/>
              </w:rPr>
              <w:lastRenderedPageBreak/>
              <w:t>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P3.1.1.4. Rekostrukcija i  asfaltiranje lokalnih i netegorisanih puteva po MZ u skladu sa godišnjim programom održavanja i sanacije lokalnih i nekategorisanih puteva</w:t>
            </w:r>
          </w:p>
        </w:tc>
        <w:tc>
          <w:tcPr>
            <w:tcW w:w="0" w:type="auto"/>
            <w:shd w:val="clear" w:color="auto" w:fill="auto"/>
          </w:tcPr>
          <w:p w:rsidR="00A37CE3" w:rsidRPr="00A37CE3" w:rsidRDefault="00A37CE3" w:rsidP="00A37CE3">
            <w:pPr>
              <w:rPr>
                <w:sz w:val="16"/>
                <w:szCs w:val="16"/>
              </w:rPr>
            </w:pPr>
            <w:r w:rsidRPr="00A37CE3">
              <w:rPr>
                <w:sz w:val="16"/>
                <w:szCs w:val="16"/>
              </w:rPr>
              <w:t>Za 30000 građana omogućeno efikasno kretanje lokalnim putevima, bez zastoja u saobraćaju, počev od 2021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500,000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 Ostalo</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P3.1.1.5.  Izgradnja kružnih tokova Hidani i Omega</w:t>
            </w:r>
          </w:p>
        </w:tc>
        <w:tc>
          <w:tcPr>
            <w:tcW w:w="0" w:type="auto"/>
            <w:shd w:val="clear" w:color="auto" w:fill="auto"/>
          </w:tcPr>
          <w:p w:rsidR="00A37CE3" w:rsidRPr="00A37CE3" w:rsidRDefault="00A37CE3" w:rsidP="00A37CE3">
            <w:pPr>
              <w:rPr>
                <w:sz w:val="16"/>
                <w:szCs w:val="16"/>
              </w:rPr>
            </w:pPr>
            <w:r w:rsidRPr="00A37CE3">
              <w:rPr>
                <w:sz w:val="16"/>
                <w:szCs w:val="16"/>
              </w:rPr>
              <w:t>Za 6500 građana omogućeno efikasno kretanje na području općine, bez zastoja u saobraćaju na lokacijama Hidani i Omega, počev od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200,000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 Država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P3.1.1.6.  Izgradnja put Babina Luka –Vujani.</w:t>
            </w:r>
          </w:p>
        </w:tc>
        <w:tc>
          <w:tcPr>
            <w:tcW w:w="0" w:type="auto"/>
            <w:shd w:val="clear" w:color="auto" w:fill="auto"/>
          </w:tcPr>
          <w:p w:rsidR="00A37CE3" w:rsidRPr="00A37CE3" w:rsidRDefault="00A37CE3" w:rsidP="00A37CE3">
            <w:pPr>
              <w:rPr>
                <w:sz w:val="16"/>
                <w:szCs w:val="16"/>
              </w:rPr>
            </w:pPr>
            <w:r w:rsidRPr="00A37CE3">
              <w:rPr>
                <w:sz w:val="16"/>
                <w:szCs w:val="16"/>
              </w:rPr>
              <w:t>Asfaltirani put svakodnevno koristi 2,5 građana počev od 2021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180,000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60,000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 Ostalo</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P3.1.1.7. Izgradnja pješačkih staza uz Magistralne i regionalne puteve</w:t>
            </w:r>
          </w:p>
        </w:tc>
        <w:tc>
          <w:tcPr>
            <w:tcW w:w="0" w:type="auto"/>
            <w:shd w:val="clear" w:color="auto" w:fill="auto"/>
          </w:tcPr>
          <w:p w:rsidR="00A37CE3" w:rsidRPr="00A37CE3" w:rsidRDefault="00A37CE3" w:rsidP="00A37CE3">
            <w:pPr>
              <w:rPr>
                <w:sz w:val="16"/>
                <w:szCs w:val="16"/>
              </w:rPr>
            </w:pPr>
            <w:r w:rsidRPr="00A37CE3">
              <w:rPr>
                <w:sz w:val="16"/>
                <w:szCs w:val="16"/>
              </w:rPr>
              <w:t>Novoizgrađene pješačke staze svakodneno koristi 1000 građana i školske djece, počev od 2020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1,260,000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1,260,000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Država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3.1.2.1. Uraditi studiju / eloborat o vodosnadbjevanju cijelog područja Općine Kalesija sa posebnim akcentom na nova izvorišta pitke vode.</w:t>
            </w:r>
          </w:p>
        </w:tc>
        <w:tc>
          <w:tcPr>
            <w:tcW w:w="0" w:type="auto"/>
            <w:shd w:val="clear" w:color="auto" w:fill="auto"/>
          </w:tcPr>
          <w:p w:rsidR="00A37CE3" w:rsidRPr="00A37CE3" w:rsidRDefault="00A37CE3" w:rsidP="00A37CE3">
            <w:pPr>
              <w:rPr>
                <w:sz w:val="16"/>
                <w:szCs w:val="16"/>
              </w:rPr>
            </w:pPr>
            <w:r w:rsidRPr="00A37CE3">
              <w:rPr>
                <w:sz w:val="16"/>
                <w:szCs w:val="16"/>
              </w:rPr>
              <w:t>Započeli projekti 3.1.2.2. – 3.1.2.7.</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60,000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60,000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 xml:space="preserve">P 3.1.2.2. Unapređenje  i automatizacija </w:t>
            </w:r>
            <w:r w:rsidRPr="00A37CE3">
              <w:rPr>
                <w:bCs/>
                <w:color w:val="000000"/>
                <w:sz w:val="16"/>
                <w:szCs w:val="16"/>
              </w:rPr>
              <w:lastRenderedPageBreak/>
              <w:t>sistema Vodovodne mreže  (telemetrija, zonska mjerenja gubitak, daljinsko očitavanje ).</w:t>
            </w:r>
          </w:p>
        </w:tc>
        <w:tc>
          <w:tcPr>
            <w:tcW w:w="0" w:type="auto"/>
            <w:shd w:val="clear" w:color="auto" w:fill="auto"/>
          </w:tcPr>
          <w:p w:rsidR="00A37CE3" w:rsidRPr="00A37CE3" w:rsidRDefault="00A37CE3" w:rsidP="00A37CE3">
            <w:pPr>
              <w:rPr>
                <w:sz w:val="16"/>
                <w:szCs w:val="16"/>
              </w:rPr>
            </w:pPr>
            <w:r w:rsidRPr="00A37CE3">
              <w:rPr>
                <w:sz w:val="16"/>
                <w:szCs w:val="16"/>
              </w:rPr>
              <w:lastRenderedPageBreak/>
              <w:t xml:space="preserve">Smanjeni gubici vode u mreži za 10% do 2022. godine u odnosu na 2017. </w:t>
            </w:r>
            <w:r w:rsidRPr="00A37CE3">
              <w:rPr>
                <w:sz w:val="16"/>
                <w:szCs w:val="16"/>
              </w:rPr>
              <w:lastRenderedPageBreak/>
              <w:t>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lastRenderedPageBreak/>
              <w:t xml:space="preserve">150,000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Javna preduzeća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3.1.2.3. Realizacija projekta vodosnadbjevanja istočnog djela općine (Memići, Kalesija Gornja)</w:t>
            </w:r>
          </w:p>
        </w:tc>
        <w:tc>
          <w:tcPr>
            <w:tcW w:w="0" w:type="auto"/>
            <w:shd w:val="clear" w:color="auto" w:fill="auto"/>
          </w:tcPr>
          <w:p w:rsidR="00A37CE3" w:rsidRPr="00A37CE3" w:rsidRDefault="00A37CE3" w:rsidP="00A37CE3">
            <w:pPr>
              <w:rPr>
                <w:sz w:val="16"/>
                <w:szCs w:val="16"/>
              </w:rPr>
            </w:pPr>
            <w:r w:rsidRPr="00A37CE3">
              <w:rPr>
                <w:sz w:val="16"/>
                <w:szCs w:val="16"/>
              </w:rPr>
              <w:t>1500 novih domaćinstava priključeno na sistem javnog vodosnabdijevanja do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300,000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3.1.2.4. Proširenje kapaciteta izvorišta Krušik</w:t>
            </w:r>
          </w:p>
        </w:tc>
        <w:tc>
          <w:tcPr>
            <w:tcW w:w="0" w:type="auto"/>
            <w:shd w:val="clear" w:color="auto" w:fill="auto"/>
          </w:tcPr>
          <w:p w:rsidR="00A37CE3" w:rsidRPr="00A37CE3" w:rsidRDefault="00A37CE3" w:rsidP="00A37CE3">
            <w:pPr>
              <w:rPr>
                <w:sz w:val="16"/>
                <w:szCs w:val="16"/>
              </w:rPr>
            </w:pPr>
            <w:r w:rsidRPr="00A37CE3">
              <w:rPr>
                <w:sz w:val="16"/>
                <w:szCs w:val="16"/>
              </w:rPr>
              <w:t>1500 građana prima uslugu vodosnabdijevanja bez redukcija, počev od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33,333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33,333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33,333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JLS</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3.1.2.5. Proširenje kapaciteta postrojenja kondicioniranje podzemnih voda sa izvorišta Krušik.</w:t>
            </w:r>
          </w:p>
        </w:tc>
        <w:tc>
          <w:tcPr>
            <w:tcW w:w="0" w:type="auto"/>
            <w:shd w:val="clear" w:color="auto" w:fill="auto"/>
          </w:tcPr>
          <w:p w:rsidR="00A37CE3" w:rsidRPr="00A37CE3" w:rsidRDefault="00A37CE3" w:rsidP="00A37CE3">
            <w:pPr>
              <w:rPr>
                <w:sz w:val="16"/>
                <w:szCs w:val="16"/>
              </w:rPr>
            </w:pPr>
            <w:r w:rsidRPr="00A37CE3">
              <w:rPr>
                <w:sz w:val="16"/>
                <w:szCs w:val="16"/>
              </w:rPr>
              <w:t>350 novih domaćinstava priključeno na sistem javnog vodosnabdijevanja do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216,000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90,000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42,000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42,000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42,000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126,000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 Kanton</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3.1.2.6. Izrada registra  mjesnih, lokalnih, i grupni vodovodnih sistema.</w:t>
            </w:r>
          </w:p>
        </w:tc>
        <w:tc>
          <w:tcPr>
            <w:tcW w:w="0" w:type="auto"/>
            <w:shd w:val="clear" w:color="auto" w:fill="auto"/>
          </w:tcPr>
          <w:p w:rsidR="00A37CE3" w:rsidRPr="00A37CE3" w:rsidRDefault="00A37CE3" w:rsidP="00A37CE3">
            <w:pPr>
              <w:rPr>
                <w:sz w:val="16"/>
                <w:szCs w:val="16"/>
              </w:rPr>
            </w:pPr>
            <w:r w:rsidRPr="00A37CE3">
              <w:rPr>
                <w:sz w:val="16"/>
                <w:szCs w:val="16"/>
              </w:rPr>
              <w:t>Realizovan projekat 3.1.2.7.</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1,667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1,667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1,667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3.1.2.7. Izgradnja i rekonstrukcija gradskih i mjesnih vodovoda</w:t>
            </w:r>
          </w:p>
        </w:tc>
        <w:tc>
          <w:tcPr>
            <w:tcW w:w="0" w:type="auto"/>
            <w:shd w:val="clear" w:color="auto" w:fill="auto"/>
          </w:tcPr>
          <w:p w:rsidR="00A37CE3" w:rsidRPr="00A37CE3" w:rsidRDefault="00A37CE3" w:rsidP="00A37CE3">
            <w:pPr>
              <w:rPr>
                <w:sz w:val="16"/>
                <w:szCs w:val="16"/>
              </w:rPr>
            </w:pPr>
            <w:r w:rsidRPr="00A37CE3">
              <w:rPr>
                <w:sz w:val="16"/>
                <w:szCs w:val="16"/>
              </w:rPr>
              <w:t>350 novih domaćinstava priključeno na sistem javnog vodosnabdijevanja do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3.1.3.1. Izrada plana upravljanja otpadom</w:t>
            </w:r>
          </w:p>
        </w:tc>
        <w:tc>
          <w:tcPr>
            <w:tcW w:w="0" w:type="auto"/>
            <w:shd w:val="clear" w:color="auto" w:fill="auto"/>
          </w:tcPr>
          <w:p w:rsidR="00A37CE3" w:rsidRPr="00A37CE3" w:rsidRDefault="00A37CE3" w:rsidP="00A37CE3">
            <w:pPr>
              <w:rPr>
                <w:sz w:val="16"/>
                <w:szCs w:val="16"/>
              </w:rPr>
            </w:pPr>
            <w:r w:rsidRPr="00A37CE3">
              <w:rPr>
                <w:sz w:val="16"/>
                <w:szCs w:val="16"/>
              </w:rPr>
              <w:t>Inicirani projekti 3.1.3.2. - 3.1.3.5.</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3,000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 xml:space="preserve">P 3.1.3.2. </w:t>
            </w:r>
            <w:r w:rsidRPr="00A37CE3">
              <w:rPr>
                <w:bCs/>
                <w:color w:val="000000"/>
                <w:sz w:val="16"/>
                <w:szCs w:val="16"/>
              </w:rPr>
              <w:lastRenderedPageBreak/>
              <w:t>Realizacija projekta sanacija i zatvaranja lokalne deponije Vis.</w:t>
            </w:r>
          </w:p>
        </w:tc>
        <w:tc>
          <w:tcPr>
            <w:tcW w:w="0" w:type="auto"/>
            <w:shd w:val="clear" w:color="auto" w:fill="auto"/>
          </w:tcPr>
          <w:p w:rsidR="00A37CE3" w:rsidRPr="00A37CE3" w:rsidRDefault="00A37CE3" w:rsidP="00A37CE3">
            <w:pPr>
              <w:rPr>
                <w:sz w:val="16"/>
                <w:szCs w:val="16"/>
              </w:rPr>
            </w:pPr>
            <w:r w:rsidRPr="00A37CE3">
              <w:rPr>
                <w:sz w:val="16"/>
                <w:szCs w:val="16"/>
              </w:rPr>
              <w:lastRenderedPageBreak/>
              <w:t xml:space="preserve">Sanirana i zatvorena lokalna </w:t>
            </w:r>
            <w:r w:rsidRPr="00A37CE3">
              <w:rPr>
                <w:sz w:val="16"/>
                <w:szCs w:val="16"/>
              </w:rPr>
              <w:lastRenderedPageBreak/>
              <w:t xml:space="preserve">deponija </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lastRenderedPageBreak/>
              <w:t xml:space="preserve">1,000,000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950,000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Općina </w:t>
            </w:r>
            <w:r w:rsidRPr="00A37CE3">
              <w:rPr>
                <w:color w:val="000000"/>
                <w:sz w:val="16"/>
                <w:szCs w:val="16"/>
              </w:rPr>
              <w:lastRenderedPageBreak/>
              <w:t>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lastRenderedPageBreak/>
              <w:t xml:space="preserve">JLS; </w:t>
            </w:r>
            <w:r w:rsidRPr="00A37CE3">
              <w:rPr>
                <w:sz w:val="16"/>
                <w:szCs w:val="16"/>
              </w:rPr>
              <w:lastRenderedPageBreak/>
              <w:t>Ostalo</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lastRenderedPageBreak/>
              <w:t xml:space="preserve">Služba za </w:t>
            </w:r>
            <w:r w:rsidRPr="00A37CE3">
              <w:rPr>
                <w:sz w:val="16"/>
                <w:szCs w:val="16"/>
              </w:rPr>
              <w:lastRenderedPageBreak/>
              <w:t>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3.1.3.3. Proširenje sistema organizovanog odvoza otpada</w:t>
            </w:r>
          </w:p>
        </w:tc>
        <w:tc>
          <w:tcPr>
            <w:tcW w:w="0" w:type="auto"/>
            <w:shd w:val="clear" w:color="auto" w:fill="auto"/>
          </w:tcPr>
          <w:p w:rsidR="00A37CE3" w:rsidRPr="00A37CE3" w:rsidRDefault="00A37CE3" w:rsidP="00A37CE3">
            <w:pPr>
              <w:rPr>
                <w:sz w:val="16"/>
                <w:szCs w:val="16"/>
              </w:rPr>
            </w:pPr>
            <w:r w:rsidRPr="00A37CE3">
              <w:rPr>
                <w:sz w:val="16"/>
                <w:szCs w:val="16"/>
              </w:rPr>
              <w:t>Stepen naplate za uslugu odvoza otpada je povećan za 30% do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3.1.3.4. Izgradnja zelenih otoka za primarnu selekciju otpada i edukacija</w:t>
            </w:r>
          </w:p>
        </w:tc>
        <w:tc>
          <w:tcPr>
            <w:tcW w:w="0" w:type="auto"/>
            <w:shd w:val="clear" w:color="auto" w:fill="auto"/>
          </w:tcPr>
          <w:p w:rsidR="00A37CE3" w:rsidRPr="00A37CE3" w:rsidRDefault="00A37CE3" w:rsidP="00A37CE3">
            <w:pPr>
              <w:rPr>
                <w:sz w:val="16"/>
                <w:szCs w:val="16"/>
              </w:rPr>
            </w:pPr>
            <w:r w:rsidRPr="00A37CE3">
              <w:rPr>
                <w:sz w:val="16"/>
                <w:szCs w:val="16"/>
              </w:rPr>
              <w:t>Ostvaren godišnji prihod od prodaje sekundarnih sirovina u iznosu najmanje 10000 KM, počev od 2020godine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330,000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110,000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110,000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110,000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Ostalo</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3.1.3.5. Materijalno- tehničko  jačanje  komunalnog preduzeća</w:t>
            </w:r>
          </w:p>
        </w:tc>
        <w:tc>
          <w:tcPr>
            <w:tcW w:w="0" w:type="auto"/>
            <w:shd w:val="clear" w:color="auto" w:fill="auto"/>
          </w:tcPr>
          <w:p w:rsidR="00A37CE3" w:rsidRPr="00A37CE3" w:rsidRDefault="00A37CE3" w:rsidP="00A37CE3">
            <w:pPr>
              <w:rPr>
                <w:sz w:val="16"/>
                <w:szCs w:val="16"/>
              </w:rPr>
            </w:pPr>
            <w:r w:rsidRPr="00A37CE3">
              <w:rPr>
                <w:sz w:val="16"/>
                <w:szCs w:val="16"/>
              </w:rPr>
              <w:t>Stepen naplate za uslugu odvoza otpada je povećan za 30% do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180,000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 Donatori</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3.1.4.1. Izrada projektne dokumentacije za izgradnju uređaja za prečišćavanje</w:t>
            </w:r>
          </w:p>
        </w:tc>
        <w:tc>
          <w:tcPr>
            <w:tcW w:w="0" w:type="auto"/>
            <w:shd w:val="clear" w:color="auto" w:fill="auto"/>
          </w:tcPr>
          <w:p w:rsidR="00A37CE3" w:rsidRPr="00A37CE3" w:rsidRDefault="00A37CE3" w:rsidP="00A37CE3">
            <w:pPr>
              <w:rPr>
                <w:sz w:val="16"/>
                <w:szCs w:val="16"/>
              </w:rPr>
            </w:pPr>
            <w:r w:rsidRPr="00A37CE3">
              <w:rPr>
                <w:sz w:val="16"/>
                <w:szCs w:val="16"/>
              </w:rPr>
              <w:t>Izgrađen sistem prikupljanja i tretmana otpadnih voda za područje grada Kalesije i okolnih MZdo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 xml:space="preserve">P 3.1.4.2. Izrada projektne dokumentacije za sekundarnu fekalnu kanalizacionu mrežu za cijelo područje općine Kalesija </w:t>
            </w:r>
          </w:p>
        </w:tc>
        <w:tc>
          <w:tcPr>
            <w:tcW w:w="0" w:type="auto"/>
            <w:shd w:val="clear" w:color="auto" w:fill="auto"/>
          </w:tcPr>
          <w:p w:rsidR="00A37CE3" w:rsidRPr="00A37CE3" w:rsidRDefault="00A37CE3" w:rsidP="00A37CE3">
            <w:pPr>
              <w:rPr>
                <w:sz w:val="16"/>
                <w:szCs w:val="16"/>
              </w:rPr>
            </w:pPr>
            <w:r w:rsidRPr="00A37CE3">
              <w:rPr>
                <w:sz w:val="16"/>
                <w:szCs w:val="16"/>
              </w:rPr>
              <w:t>Izgrađen sistem prikupljanja i tretmana otpadnih voda za područje grada Kalesije i okolnih MZdo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3.1.4.3. Izrada uređaja za prečišćavanje za: Kalesiju, Prnjavor, Miljanovci, Dubnica-Mahmutovići</w:t>
            </w:r>
          </w:p>
        </w:tc>
        <w:tc>
          <w:tcPr>
            <w:tcW w:w="0" w:type="auto"/>
            <w:shd w:val="clear" w:color="auto" w:fill="auto"/>
          </w:tcPr>
          <w:p w:rsidR="00A37CE3" w:rsidRPr="00A37CE3" w:rsidRDefault="00A37CE3" w:rsidP="00A37CE3">
            <w:pPr>
              <w:rPr>
                <w:sz w:val="16"/>
                <w:szCs w:val="16"/>
              </w:rPr>
            </w:pPr>
            <w:r w:rsidRPr="00A37CE3">
              <w:rPr>
                <w:sz w:val="16"/>
                <w:szCs w:val="16"/>
              </w:rPr>
              <w:t>2000  domaćinstava u naseljima Kalesija, Prnjavor, Miljanovci, Dubnica-Mahmutovići priključeno na kanalizacionu mrežu iz koje se otpadne vode prečišćavaju u uređaju za prečišćavanje, do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1,360,000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960,000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 Ostalo</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3.1.4.4. Izgradnja primarnih kolektora  fekalne kanalizacije za: Kalesija, Prnjavor, Miljanovci, Dubnica-Mahmutovići</w:t>
            </w:r>
          </w:p>
        </w:tc>
        <w:tc>
          <w:tcPr>
            <w:tcW w:w="0" w:type="auto"/>
            <w:shd w:val="clear" w:color="auto" w:fill="auto"/>
          </w:tcPr>
          <w:p w:rsidR="00A37CE3" w:rsidRPr="00A37CE3" w:rsidRDefault="00A37CE3" w:rsidP="00A37CE3">
            <w:pPr>
              <w:rPr>
                <w:sz w:val="16"/>
                <w:szCs w:val="16"/>
              </w:rPr>
            </w:pPr>
            <w:r w:rsidRPr="00A37CE3">
              <w:rPr>
                <w:sz w:val="16"/>
                <w:szCs w:val="16"/>
              </w:rPr>
              <w:t>5500 domaćinstava u naseljima Kalesija, Prnjavor, Miljanovci, Dubnica-Mahmutovići priključeno na kanalizacionu mrežu iz koje se otpadne vode prečišćavaju u uređaju za prečišćavanje, do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2,040,000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500,000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400,000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900,000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380,000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380,000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380,000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1,140,000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 Donatori</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SC3/SEC3.1</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3.1.4.5. Izgradnja primarnih kolektora  fekalne kanalizacije za: Vukovije Gornje, Tojšići, Kikači; Hrasno Donje</w:t>
            </w:r>
          </w:p>
        </w:tc>
        <w:tc>
          <w:tcPr>
            <w:tcW w:w="0" w:type="auto"/>
            <w:shd w:val="clear" w:color="auto" w:fill="auto"/>
          </w:tcPr>
          <w:p w:rsidR="00A37CE3" w:rsidRPr="00A37CE3" w:rsidRDefault="00A37CE3" w:rsidP="00A37CE3">
            <w:pPr>
              <w:rPr>
                <w:sz w:val="16"/>
                <w:szCs w:val="16"/>
              </w:rPr>
            </w:pPr>
            <w:r w:rsidRPr="00A37CE3">
              <w:rPr>
                <w:sz w:val="16"/>
                <w:szCs w:val="16"/>
              </w:rPr>
              <w:t>2500 domaćinstava u naseljima Vukovije Gornje, Tojšići, Kikači; Hrasno Donje priključeno na kanalizacionu mrežu i poboljšali su sanitarne uslove življenja, do 2022.</w:t>
            </w:r>
            <w:r w:rsidRPr="00A37CE3">
              <w:rPr>
                <w:color w:val="FF0000"/>
                <w:sz w:val="16"/>
                <w:szCs w:val="16"/>
              </w:rPr>
              <w:t xml:space="preserve"> </w:t>
            </w:r>
            <w:r w:rsidRPr="00A37CE3">
              <w:rPr>
                <w:sz w:val="16"/>
                <w:szCs w:val="16"/>
              </w:rPr>
              <w:t>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2,000,000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2,000,000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Kredit</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3.2.1.1. Utopljavanje zgrade „Bijeljinka“</w:t>
            </w:r>
          </w:p>
        </w:tc>
        <w:tc>
          <w:tcPr>
            <w:tcW w:w="0" w:type="auto"/>
            <w:shd w:val="clear" w:color="auto" w:fill="auto"/>
          </w:tcPr>
          <w:p w:rsidR="00A37CE3" w:rsidRPr="00A37CE3" w:rsidRDefault="00A37CE3" w:rsidP="00A37CE3">
            <w:pPr>
              <w:rPr>
                <w:sz w:val="16"/>
                <w:szCs w:val="16"/>
              </w:rPr>
            </w:pPr>
            <w:r w:rsidRPr="00A37CE3">
              <w:rPr>
                <w:sz w:val="16"/>
                <w:szCs w:val="16"/>
              </w:rPr>
              <w:t>Smanjena potrošnja fosilnih goriva za grijanje javnih zgrada na području općine za 30% godišnje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70,000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6,000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6,000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64,000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64,000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 Privatni izvori</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3.2.1.2. Utopljavanje zgrade „Minimarket”</w:t>
            </w:r>
          </w:p>
        </w:tc>
        <w:tc>
          <w:tcPr>
            <w:tcW w:w="0" w:type="auto"/>
            <w:shd w:val="clear" w:color="auto" w:fill="auto"/>
          </w:tcPr>
          <w:p w:rsidR="00A37CE3" w:rsidRPr="00A37CE3" w:rsidRDefault="00A37CE3" w:rsidP="00A37CE3">
            <w:pPr>
              <w:rPr>
                <w:sz w:val="16"/>
                <w:szCs w:val="16"/>
              </w:rPr>
            </w:pPr>
            <w:r w:rsidRPr="00A37CE3">
              <w:rPr>
                <w:sz w:val="16"/>
                <w:szCs w:val="16"/>
              </w:rPr>
              <w:t>Smanjena potrošnja fosilnih goriva za grijanje javnih zgrada na području općine za 30% godišnje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30,000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27,000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27,000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 Privatni izvori</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3.2.1.3. Utopljavanje zgrade „Tuzlanka”</w:t>
            </w:r>
          </w:p>
        </w:tc>
        <w:tc>
          <w:tcPr>
            <w:tcW w:w="0" w:type="auto"/>
            <w:shd w:val="clear" w:color="auto" w:fill="auto"/>
          </w:tcPr>
          <w:p w:rsidR="00A37CE3" w:rsidRPr="00A37CE3" w:rsidRDefault="00A37CE3" w:rsidP="00A37CE3">
            <w:pPr>
              <w:rPr>
                <w:sz w:val="16"/>
                <w:szCs w:val="16"/>
              </w:rPr>
            </w:pPr>
            <w:r w:rsidRPr="00A37CE3">
              <w:rPr>
                <w:sz w:val="16"/>
                <w:szCs w:val="16"/>
              </w:rPr>
              <w:t>Smanjena potrošnja fosilnih goriva za grijanje javnih zgrada na području općine za 30% godišnje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35,000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3,500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3,500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31,500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31,500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 Privatni izvori</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3.2.1.4. Utopljavanje zgrade „Sprečanka”</w:t>
            </w:r>
          </w:p>
        </w:tc>
        <w:tc>
          <w:tcPr>
            <w:tcW w:w="0" w:type="auto"/>
            <w:shd w:val="clear" w:color="auto" w:fill="auto"/>
          </w:tcPr>
          <w:p w:rsidR="00A37CE3" w:rsidRPr="00A37CE3" w:rsidRDefault="00A37CE3" w:rsidP="00A37CE3">
            <w:pPr>
              <w:rPr>
                <w:sz w:val="16"/>
                <w:szCs w:val="16"/>
              </w:rPr>
            </w:pPr>
            <w:r w:rsidRPr="00A37CE3">
              <w:rPr>
                <w:sz w:val="16"/>
                <w:szCs w:val="16"/>
              </w:rPr>
              <w:t>Smanjena potrošnja fosilnih goriva za grijanje javnih zgrada na području općine za 30% godišnje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70,000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7,000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7,000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63,000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63,000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 Privatni izvori</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 xml:space="preserve">P 3.2.1.5. </w:t>
            </w:r>
            <w:r w:rsidRPr="00A37CE3">
              <w:rPr>
                <w:bCs/>
                <w:color w:val="000000"/>
                <w:sz w:val="16"/>
                <w:szCs w:val="16"/>
              </w:rPr>
              <w:lastRenderedPageBreak/>
              <w:t>Utopljavanje zgrade „Tehnograd”</w:t>
            </w:r>
          </w:p>
        </w:tc>
        <w:tc>
          <w:tcPr>
            <w:tcW w:w="0" w:type="auto"/>
            <w:shd w:val="clear" w:color="auto" w:fill="auto"/>
          </w:tcPr>
          <w:p w:rsidR="00A37CE3" w:rsidRPr="00A37CE3" w:rsidRDefault="00A37CE3" w:rsidP="00A37CE3">
            <w:pPr>
              <w:rPr>
                <w:sz w:val="16"/>
                <w:szCs w:val="16"/>
              </w:rPr>
            </w:pPr>
            <w:r w:rsidRPr="00A37CE3">
              <w:rPr>
                <w:sz w:val="16"/>
                <w:szCs w:val="16"/>
              </w:rPr>
              <w:lastRenderedPageBreak/>
              <w:t xml:space="preserve">Smanjena potrošnja fosilnih </w:t>
            </w:r>
            <w:r w:rsidRPr="00A37CE3">
              <w:rPr>
                <w:sz w:val="16"/>
                <w:szCs w:val="16"/>
              </w:rPr>
              <w:lastRenderedPageBreak/>
              <w:t>goriva za grijanje javnih zgrada na području općine za 30% godišnje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lastRenderedPageBreak/>
              <w:t xml:space="preserve">70,000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7,000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7,000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63,000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63,000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Općina </w:t>
            </w:r>
            <w:r w:rsidRPr="00A37CE3">
              <w:rPr>
                <w:color w:val="000000"/>
                <w:sz w:val="16"/>
                <w:szCs w:val="16"/>
              </w:rPr>
              <w:lastRenderedPageBreak/>
              <w:t>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lastRenderedPageBreak/>
              <w:t xml:space="preserve">JLS; </w:t>
            </w:r>
            <w:r w:rsidRPr="00A37CE3">
              <w:rPr>
                <w:sz w:val="16"/>
                <w:szCs w:val="16"/>
              </w:rPr>
              <w:lastRenderedPageBreak/>
              <w:t>Privatni izvori</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lastRenderedPageBreak/>
              <w:t xml:space="preserve">Služba za </w:t>
            </w:r>
            <w:r w:rsidRPr="00A37CE3">
              <w:rPr>
                <w:sz w:val="16"/>
                <w:szCs w:val="16"/>
              </w:rPr>
              <w:lastRenderedPageBreak/>
              <w:t>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SC3/SEC3.2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3.2.1.6. Utopljavanje zgrade „Centar za socijalni rad“ i KP Komunalac.</w:t>
            </w:r>
          </w:p>
        </w:tc>
        <w:tc>
          <w:tcPr>
            <w:tcW w:w="0" w:type="auto"/>
            <w:shd w:val="clear" w:color="auto" w:fill="auto"/>
          </w:tcPr>
          <w:p w:rsidR="00A37CE3" w:rsidRPr="00A37CE3" w:rsidRDefault="00A37CE3" w:rsidP="00A37CE3">
            <w:pPr>
              <w:rPr>
                <w:sz w:val="16"/>
                <w:szCs w:val="16"/>
              </w:rPr>
            </w:pPr>
            <w:r w:rsidRPr="00A37CE3">
              <w:rPr>
                <w:sz w:val="16"/>
                <w:szCs w:val="16"/>
              </w:rPr>
              <w:t>Smanjena potrošnja fosilnih goriva za grijanje javnih zgrada na području općine za 30% godišnje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25,000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 Javna preduzeća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3.2.1.7. Utopljavanje i zamjena stolarije objekata centralnih OŠ. ( Kalesija Centar, Memići, Tojšići, Vukovije, Rainci Gornji. )</w:t>
            </w:r>
          </w:p>
        </w:tc>
        <w:tc>
          <w:tcPr>
            <w:tcW w:w="0" w:type="auto"/>
            <w:shd w:val="clear" w:color="auto" w:fill="auto"/>
          </w:tcPr>
          <w:p w:rsidR="00A37CE3" w:rsidRPr="00A37CE3" w:rsidRDefault="00A37CE3" w:rsidP="00A37CE3">
            <w:pPr>
              <w:rPr>
                <w:sz w:val="16"/>
                <w:szCs w:val="16"/>
              </w:rPr>
            </w:pPr>
            <w:r w:rsidRPr="00A37CE3">
              <w:rPr>
                <w:sz w:val="16"/>
                <w:szCs w:val="16"/>
              </w:rPr>
              <w:t>Smanjena potrošnja fosilnih goriva za grijanje javnih zgrada na području općine za 30% godišnje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1,000,000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33,333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33,333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33,334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900,000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 Kanton</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3.2.2.1 Izrada projekta centralne gradske kotlovnice sa odabirom lokacije</w:t>
            </w:r>
          </w:p>
        </w:tc>
        <w:tc>
          <w:tcPr>
            <w:tcW w:w="0" w:type="auto"/>
            <w:shd w:val="clear" w:color="auto" w:fill="auto"/>
          </w:tcPr>
          <w:p w:rsidR="00A37CE3" w:rsidRPr="00A37CE3" w:rsidRDefault="00A37CE3" w:rsidP="00A37CE3">
            <w:pPr>
              <w:rPr>
                <w:sz w:val="16"/>
                <w:szCs w:val="16"/>
              </w:rPr>
            </w:pPr>
            <w:r w:rsidRPr="00A37CE3">
              <w:rPr>
                <w:sz w:val="16"/>
                <w:szCs w:val="16"/>
              </w:rPr>
              <w:t>Realizovan projekat 3.2.2.2.</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3.2.2.2. Izgradnja gradske kotlovnice</w:t>
            </w:r>
          </w:p>
        </w:tc>
        <w:tc>
          <w:tcPr>
            <w:tcW w:w="0" w:type="auto"/>
            <w:shd w:val="clear" w:color="auto" w:fill="auto"/>
          </w:tcPr>
          <w:p w:rsidR="00A37CE3" w:rsidRPr="00A37CE3" w:rsidRDefault="00A37CE3" w:rsidP="00A37CE3">
            <w:pPr>
              <w:rPr>
                <w:sz w:val="16"/>
                <w:szCs w:val="16"/>
              </w:rPr>
            </w:pPr>
            <w:r w:rsidRPr="00A37CE3">
              <w:rPr>
                <w:sz w:val="16"/>
                <w:szCs w:val="16"/>
              </w:rPr>
              <w:t>300 stambenih jedinica  na području grada priključeno na gradski toplovod do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616,000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192,000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192,000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192,000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576,000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JLS; Donatori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3.2.2.3. Izgradnja gradskog toplovoda</w:t>
            </w:r>
          </w:p>
        </w:tc>
        <w:tc>
          <w:tcPr>
            <w:tcW w:w="0" w:type="auto"/>
            <w:shd w:val="clear" w:color="auto" w:fill="auto"/>
          </w:tcPr>
          <w:p w:rsidR="00A37CE3" w:rsidRPr="00A37CE3" w:rsidRDefault="00A37CE3" w:rsidP="00A37CE3">
            <w:pPr>
              <w:rPr>
                <w:sz w:val="16"/>
                <w:szCs w:val="16"/>
              </w:rPr>
            </w:pPr>
            <w:r w:rsidRPr="00A37CE3">
              <w:rPr>
                <w:sz w:val="16"/>
                <w:szCs w:val="16"/>
              </w:rPr>
              <w:t>300 stambenih jedinica  na području grada priključeno na gradski toplovod do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616,000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192,000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192,000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192,000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576,000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JLS; Donatori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SC3/SEC3.2</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3.2.2.4. Edukacija građana o energetskoj efikasnosti sa izradom promotivnih afiša</w:t>
            </w:r>
          </w:p>
        </w:tc>
        <w:tc>
          <w:tcPr>
            <w:tcW w:w="0" w:type="auto"/>
            <w:shd w:val="clear" w:color="auto" w:fill="auto"/>
          </w:tcPr>
          <w:p w:rsidR="00A37CE3" w:rsidRPr="00A37CE3" w:rsidRDefault="00A37CE3" w:rsidP="00A37CE3">
            <w:pPr>
              <w:rPr>
                <w:sz w:val="16"/>
                <w:szCs w:val="16"/>
              </w:rPr>
            </w:pPr>
            <w:r w:rsidRPr="00A37CE3">
              <w:rPr>
                <w:sz w:val="16"/>
                <w:szCs w:val="16"/>
              </w:rPr>
              <w:t>Smanjena potrošnja fosilnih goriva za grijanje domaćinstava na području općine za 5% godišnje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3,000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1,000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Općinski 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 xml:space="preserve">P 3.3.1.1. Izrada </w:t>
            </w:r>
            <w:r w:rsidRPr="00A37CE3">
              <w:rPr>
                <w:bCs/>
                <w:color w:val="000000"/>
                <w:sz w:val="16"/>
                <w:szCs w:val="16"/>
              </w:rPr>
              <w:lastRenderedPageBreak/>
              <w:t>projekta uređenja korita rijeke Spreče</w:t>
            </w:r>
          </w:p>
        </w:tc>
        <w:tc>
          <w:tcPr>
            <w:tcW w:w="0" w:type="auto"/>
            <w:shd w:val="clear" w:color="auto" w:fill="auto"/>
          </w:tcPr>
          <w:p w:rsidR="00A37CE3" w:rsidRPr="00A37CE3" w:rsidRDefault="00A37CE3" w:rsidP="00A37CE3">
            <w:pPr>
              <w:rPr>
                <w:sz w:val="16"/>
                <w:szCs w:val="16"/>
              </w:rPr>
            </w:pPr>
            <w:r w:rsidRPr="00A37CE3">
              <w:rPr>
                <w:sz w:val="16"/>
                <w:szCs w:val="16"/>
              </w:rPr>
              <w:lastRenderedPageBreak/>
              <w:t>Realizovan projekat 3.3.1.2.</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25,000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8,333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8,333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8,333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Općina </w:t>
            </w:r>
            <w:r w:rsidRPr="00A37CE3">
              <w:rPr>
                <w:color w:val="000000"/>
                <w:sz w:val="16"/>
                <w:szCs w:val="16"/>
              </w:rPr>
              <w:lastRenderedPageBreak/>
              <w:t>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lastRenderedPageBreak/>
              <w:t>JLS</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Općinski </w:t>
            </w:r>
            <w:r w:rsidRPr="00A37CE3">
              <w:rPr>
                <w:sz w:val="16"/>
                <w:szCs w:val="16"/>
              </w:rPr>
              <w:lastRenderedPageBreak/>
              <w:t>načelnik</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SC3/SEC3.3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3.3.1.2. Uređenje korita rijeke Spreče</w:t>
            </w:r>
          </w:p>
        </w:tc>
        <w:tc>
          <w:tcPr>
            <w:tcW w:w="0" w:type="auto"/>
            <w:shd w:val="clear" w:color="auto" w:fill="auto"/>
          </w:tcPr>
          <w:p w:rsidR="00A37CE3" w:rsidRPr="00A37CE3" w:rsidRDefault="00A37CE3" w:rsidP="00A37CE3">
            <w:pPr>
              <w:rPr>
                <w:sz w:val="16"/>
                <w:szCs w:val="16"/>
              </w:rPr>
            </w:pPr>
            <w:r w:rsidRPr="00A37CE3">
              <w:rPr>
                <w:sz w:val="16"/>
                <w:szCs w:val="16"/>
              </w:rPr>
              <w:t>10 domaćinstava u dolini rijeke Spreče nije ugroženo od poplava do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1,200,000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400,000</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400,000</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1,200,000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Donatori</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881DF1" w:rsidTr="00670037">
        <w:trPr>
          <w:trHeight w:val="64"/>
          <w:jc w:val="center"/>
        </w:trPr>
        <w:tc>
          <w:tcPr>
            <w:tcW w:w="0" w:type="auto"/>
            <w:shd w:val="clear" w:color="auto" w:fill="auto"/>
            <w:vAlign w:val="center"/>
          </w:tcPr>
          <w:p w:rsidR="00A37CE3" w:rsidRPr="00A37CE3" w:rsidRDefault="00A37CE3" w:rsidP="00A37CE3">
            <w:pPr>
              <w:jc w:val="center"/>
              <w:rPr>
                <w:sz w:val="16"/>
                <w:szCs w:val="16"/>
              </w:rPr>
            </w:pPr>
            <w:r w:rsidRPr="00A37CE3">
              <w:rPr>
                <w:sz w:val="16"/>
                <w:szCs w:val="16"/>
              </w:rPr>
              <w:t>SC3/SEC3.3</w:t>
            </w:r>
          </w:p>
        </w:tc>
        <w:tc>
          <w:tcPr>
            <w:tcW w:w="0" w:type="auto"/>
            <w:shd w:val="clear" w:color="auto" w:fill="auto"/>
          </w:tcPr>
          <w:p w:rsidR="00A37CE3" w:rsidRPr="00A37CE3" w:rsidRDefault="00A37CE3" w:rsidP="00A37CE3">
            <w:pPr>
              <w:jc w:val="left"/>
              <w:rPr>
                <w:bCs/>
                <w:sz w:val="16"/>
                <w:szCs w:val="16"/>
              </w:rPr>
            </w:pPr>
            <w:r w:rsidRPr="00A37CE3">
              <w:rPr>
                <w:bCs/>
                <w:sz w:val="16"/>
                <w:szCs w:val="16"/>
              </w:rPr>
              <w:t>P 3.3.1.3. Nastavak uređenje korita rijeke Gribaje</w:t>
            </w:r>
          </w:p>
        </w:tc>
        <w:tc>
          <w:tcPr>
            <w:tcW w:w="0" w:type="auto"/>
            <w:shd w:val="clear" w:color="auto" w:fill="auto"/>
          </w:tcPr>
          <w:p w:rsidR="00A37CE3" w:rsidRPr="00A37CE3" w:rsidRDefault="00A37CE3" w:rsidP="00A37CE3">
            <w:pPr>
              <w:rPr>
                <w:sz w:val="16"/>
                <w:szCs w:val="16"/>
              </w:rPr>
            </w:pPr>
            <w:r w:rsidRPr="00A37CE3">
              <w:rPr>
                <w:sz w:val="16"/>
                <w:szCs w:val="16"/>
              </w:rPr>
              <w:t>50 domaćinstava u dolini rijeke Gribaje nije ugroženo od poplava do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200,000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70,000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70,000</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60,000</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200,000 </w:t>
            </w:r>
          </w:p>
        </w:tc>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Država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1462D5"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3.3.1.4. Nastavak uređenje korita rijeke Dubnice</w:t>
            </w:r>
          </w:p>
        </w:tc>
        <w:tc>
          <w:tcPr>
            <w:tcW w:w="0" w:type="auto"/>
            <w:shd w:val="clear" w:color="auto" w:fill="auto"/>
          </w:tcPr>
          <w:p w:rsidR="00A37CE3" w:rsidRPr="00A37CE3" w:rsidRDefault="00A37CE3" w:rsidP="00A37CE3">
            <w:pPr>
              <w:rPr>
                <w:sz w:val="16"/>
                <w:szCs w:val="16"/>
              </w:rPr>
            </w:pPr>
            <w:r w:rsidRPr="00A37CE3">
              <w:rPr>
                <w:sz w:val="16"/>
                <w:szCs w:val="16"/>
              </w:rPr>
              <w:t>15 domaćinstava u dolini rijeke Dubnice nije ugroženo od poplava do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30,000</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40,000</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100,000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Država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1462D5"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3.3.1.5. Čišćenje I održavanje kanalske mreže pored lokalnh puteva</w:t>
            </w:r>
          </w:p>
        </w:tc>
        <w:tc>
          <w:tcPr>
            <w:tcW w:w="0" w:type="auto"/>
            <w:shd w:val="clear" w:color="auto" w:fill="auto"/>
          </w:tcPr>
          <w:p w:rsidR="00A37CE3" w:rsidRPr="00A37CE3" w:rsidRDefault="00A37CE3" w:rsidP="00A37CE3">
            <w:pPr>
              <w:rPr>
                <w:sz w:val="16"/>
                <w:szCs w:val="16"/>
              </w:rPr>
            </w:pPr>
            <w:r w:rsidRPr="00A37CE3">
              <w:rPr>
                <w:sz w:val="16"/>
                <w:szCs w:val="16"/>
              </w:rPr>
              <w:t>Nije registrovano izlijevanje vode iz kanalske mreže pored lokalnih puteva u periodu 2017.-2022. godina</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1462D5"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 xml:space="preserve">P 3.3.2.1. Izrada katastra svih klizišta na području općine Kalesija </w:t>
            </w:r>
          </w:p>
        </w:tc>
        <w:tc>
          <w:tcPr>
            <w:tcW w:w="0" w:type="auto"/>
            <w:shd w:val="clear" w:color="auto" w:fill="auto"/>
          </w:tcPr>
          <w:p w:rsidR="00A37CE3" w:rsidRPr="00A37CE3" w:rsidRDefault="00A37CE3" w:rsidP="00A37CE3">
            <w:pPr>
              <w:rPr>
                <w:sz w:val="16"/>
                <w:szCs w:val="16"/>
              </w:rPr>
            </w:pPr>
            <w:r w:rsidRPr="00A37CE3">
              <w:rPr>
                <w:sz w:val="16"/>
                <w:szCs w:val="16"/>
              </w:rPr>
              <w:t>Započeo projekat 3.3.2.2.</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15,000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1462D5"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3.3.2.2. Izrada Elaborata I projekata sanacije klizišta po utvrđenim prioritetima (Jajići, Lipovice, Kikači, Horozovina)</w:t>
            </w:r>
          </w:p>
        </w:tc>
        <w:tc>
          <w:tcPr>
            <w:tcW w:w="0" w:type="auto"/>
            <w:shd w:val="clear" w:color="auto" w:fill="auto"/>
          </w:tcPr>
          <w:p w:rsidR="00A37CE3" w:rsidRPr="00A37CE3" w:rsidRDefault="00A37CE3" w:rsidP="00A37CE3">
            <w:pPr>
              <w:rPr>
                <w:sz w:val="16"/>
                <w:szCs w:val="16"/>
              </w:rPr>
            </w:pPr>
            <w:r w:rsidRPr="00A37CE3">
              <w:rPr>
                <w:sz w:val="16"/>
                <w:szCs w:val="16"/>
              </w:rPr>
              <w:t>Urađene projektne aplikacije za sanaciju prioritetnih klizišta i podnesene višim nivoima vlasti radi dobijanja finansijske podrške do 2019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80,000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26,667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26,667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26,667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80,000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Općinski načelnik</w:t>
            </w:r>
          </w:p>
        </w:tc>
      </w:tr>
      <w:tr w:rsidR="00A37CE3" w:rsidRPr="001462D5"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3.3.3.1. Opremanje civilne zaštite</w:t>
            </w:r>
          </w:p>
        </w:tc>
        <w:tc>
          <w:tcPr>
            <w:tcW w:w="0" w:type="auto"/>
            <w:shd w:val="clear" w:color="auto" w:fill="auto"/>
          </w:tcPr>
          <w:p w:rsidR="00A37CE3" w:rsidRPr="00A37CE3" w:rsidRDefault="00A37CE3" w:rsidP="00A37CE3">
            <w:pPr>
              <w:rPr>
                <w:sz w:val="16"/>
                <w:szCs w:val="16"/>
              </w:rPr>
            </w:pPr>
            <w:r w:rsidRPr="00A37CE3">
              <w:rPr>
                <w:sz w:val="16"/>
                <w:szCs w:val="16"/>
              </w:rPr>
              <w:t>Povećana brzina reakcije civilne zaštite u uslovima elementarnih nepogoda za 20% do 2022. godine u odnosu na 2017. godinu</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1462D5"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lastRenderedPageBreak/>
              <w:t>SC3/SEC3.3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P 3.3.3.2. Organizovanje edukacije za pripadnike CZ i javnosti</w:t>
            </w:r>
          </w:p>
        </w:tc>
        <w:tc>
          <w:tcPr>
            <w:tcW w:w="0" w:type="auto"/>
            <w:shd w:val="clear" w:color="auto" w:fill="auto"/>
          </w:tcPr>
          <w:p w:rsidR="00A37CE3" w:rsidRPr="00A37CE3" w:rsidRDefault="00A37CE3" w:rsidP="00A37CE3">
            <w:pPr>
              <w:rPr>
                <w:sz w:val="16"/>
                <w:szCs w:val="16"/>
              </w:rPr>
            </w:pPr>
            <w:r w:rsidRPr="00A37CE3">
              <w:rPr>
                <w:sz w:val="16"/>
                <w:szCs w:val="16"/>
              </w:rPr>
              <w:t>U skladu sa Planom zaštite i spašavanja od prirodnih i drugih nesreća Općine izvršeno imenovanje 44 povjerenika CZ u stambenim zgradama i naseljima do 2022. godine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4,000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1,333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1,333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1,333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 -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1462D5" w:rsidTr="00670037">
        <w:trPr>
          <w:trHeight w:val="64"/>
          <w:jc w:val="center"/>
        </w:trPr>
        <w:tc>
          <w:tcPr>
            <w:tcW w:w="0" w:type="auto"/>
            <w:shd w:val="clear" w:color="auto" w:fill="auto"/>
            <w:vAlign w:val="center"/>
          </w:tcPr>
          <w:p w:rsidR="00A37CE3" w:rsidRPr="00A37CE3" w:rsidRDefault="00A37CE3" w:rsidP="00A37CE3">
            <w:pPr>
              <w:jc w:val="center"/>
              <w:rPr>
                <w:color w:val="000000"/>
                <w:sz w:val="16"/>
                <w:szCs w:val="16"/>
              </w:rPr>
            </w:pPr>
            <w:r w:rsidRPr="00A37CE3">
              <w:rPr>
                <w:color w:val="000000"/>
                <w:sz w:val="16"/>
                <w:szCs w:val="16"/>
              </w:rPr>
              <w:t>SC3/SEC3.3</w:t>
            </w:r>
          </w:p>
        </w:tc>
        <w:tc>
          <w:tcPr>
            <w:tcW w:w="0" w:type="auto"/>
            <w:shd w:val="clear" w:color="auto" w:fill="auto"/>
          </w:tcPr>
          <w:p w:rsidR="00A37CE3" w:rsidRPr="00A37CE3" w:rsidRDefault="00A37CE3" w:rsidP="00A37CE3">
            <w:pPr>
              <w:jc w:val="left"/>
              <w:rPr>
                <w:bCs/>
                <w:color w:val="000000"/>
                <w:sz w:val="16"/>
                <w:szCs w:val="16"/>
              </w:rPr>
            </w:pPr>
            <w:r w:rsidRPr="00A37CE3">
              <w:rPr>
                <w:bCs/>
                <w:color w:val="000000"/>
                <w:sz w:val="16"/>
                <w:szCs w:val="16"/>
              </w:rPr>
              <w:t xml:space="preserve">P 3.3.3.3. Aktivnosti na deminiranju terena </w:t>
            </w:r>
          </w:p>
        </w:tc>
        <w:tc>
          <w:tcPr>
            <w:tcW w:w="0" w:type="auto"/>
            <w:shd w:val="clear" w:color="auto" w:fill="auto"/>
          </w:tcPr>
          <w:p w:rsidR="00A37CE3" w:rsidRPr="00A37CE3" w:rsidRDefault="00A37CE3" w:rsidP="00A37CE3">
            <w:pPr>
              <w:rPr>
                <w:sz w:val="16"/>
                <w:szCs w:val="16"/>
              </w:rPr>
            </w:pPr>
            <w:r w:rsidRPr="00A37CE3">
              <w:rPr>
                <w:sz w:val="16"/>
                <w:szCs w:val="16"/>
              </w:rPr>
              <w:t>Na deminiranim površinama nema opasnosti po život građana – do kraja 2022. godine nije zabilježena nijedna nesreća od mina na području općine</w:t>
            </w:r>
          </w:p>
        </w:tc>
        <w:tc>
          <w:tcPr>
            <w:tcW w:w="0" w:type="auto"/>
            <w:shd w:val="clear" w:color="auto" w:fill="auto"/>
            <w:vAlign w:val="center"/>
          </w:tcPr>
          <w:p w:rsidR="00A37CE3" w:rsidRPr="00A37CE3" w:rsidRDefault="00A37CE3" w:rsidP="00A37CE3">
            <w:pPr>
              <w:jc w:val="center"/>
              <w:rPr>
                <w:bCs/>
                <w:sz w:val="16"/>
                <w:szCs w:val="16"/>
              </w:rPr>
            </w:pPr>
            <w:r w:rsidRPr="00A37CE3">
              <w:rPr>
                <w:bCs/>
                <w:sz w:val="16"/>
                <w:szCs w:val="16"/>
              </w:rPr>
              <w:t xml:space="preserve">1,248,000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40,000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120,000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376,000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376,000</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376,000</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 xml:space="preserve">1,128,000 </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Općina Kalesija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JLS; Država</w:t>
            </w:r>
          </w:p>
        </w:tc>
        <w:tc>
          <w:tcPr>
            <w:tcW w:w="0" w:type="auto"/>
            <w:shd w:val="clear" w:color="auto" w:fill="auto"/>
            <w:vAlign w:val="center"/>
          </w:tcPr>
          <w:p w:rsidR="00A37CE3" w:rsidRPr="00A37CE3" w:rsidRDefault="00A37CE3" w:rsidP="00A37CE3">
            <w:pPr>
              <w:jc w:val="center"/>
              <w:rPr>
                <w:sz w:val="16"/>
                <w:szCs w:val="16"/>
              </w:rPr>
            </w:pPr>
            <w:r w:rsidRPr="00A37CE3">
              <w:rPr>
                <w:sz w:val="16"/>
                <w:szCs w:val="16"/>
              </w:rPr>
              <w:t>Služba za komunalne poslove i civilnu zaštitu</w:t>
            </w:r>
          </w:p>
        </w:tc>
      </w:tr>
      <w:tr w:rsidR="00A37CE3" w:rsidRPr="0005437D" w:rsidTr="00670037">
        <w:trPr>
          <w:trHeight w:val="64"/>
          <w:jc w:val="center"/>
        </w:trPr>
        <w:tc>
          <w:tcPr>
            <w:tcW w:w="0" w:type="auto"/>
            <w:gridSpan w:val="2"/>
            <w:shd w:val="clear" w:color="auto" w:fill="BDD6EE" w:themeFill="accent1" w:themeFillTint="66"/>
            <w:vAlign w:val="center"/>
          </w:tcPr>
          <w:p w:rsidR="00A37CE3" w:rsidRPr="0005437D" w:rsidRDefault="00A37CE3" w:rsidP="00A37CE3">
            <w:pPr>
              <w:rPr>
                <w:b/>
                <w:sz w:val="16"/>
                <w:szCs w:val="16"/>
              </w:rPr>
            </w:pPr>
            <w:r w:rsidRPr="0005437D">
              <w:rPr>
                <w:b/>
                <w:sz w:val="16"/>
                <w:szCs w:val="16"/>
              </w:rPr>
              <w:t>UKUPNO:</w:t>
            </w:r>
          </w:p>
        </w:tc>
        <w:tc>
          <w:tcPr>
            <w:tcW w:w="0" w:type="auto"/>
            <w:shd w:val="clear" w:color="auto" w:fill="BDD6EE" w:themeFill="accent1" w:themeFillTint="66"/>
            <w:vAlign w:val="center"/>
          </w:tcPr>
          <w:p w:rsidR="00A37CE3" w:rsidRPr="0005437D" w:rsidRDefault="00A37CE3" w:rsidP="00A37CE3">
            <w:pPr>
              <w:rPr>
                <w:b/>
                <w:sz w:val="16"/>
                <w:szCs w:val="16"/>
              </w:rPr>
            </w:pPr>
          </w:p>
        </w:tc>
        <w:tc>
          <w:tcPr>
            <w:tcW w:w="0" w:type="auto"/>
            <w:shd w:val="clear" w:color="auto" w:fill="BDD6EE" w:themeFill="accent1" w:themeFillTint="66"/>
            <w:vAlign w:val="center"/>
          </w:tcPr>
          <w:p w:rsidR="00A37CE3" w:rsidRPr="0005437D" w:rsidRDefault="00A37CE3" w:rsidP="00A37CE3">
            <w:pPr>
              <w:rPr>
                <w:b/>
                <w:sz w:val="14"/>
                <w:szCs w:val="14"/>
              </w:rPr>
            </w:pPr>
          </w:p>
        </w:tc>
        <w:tc>
          <w:tcPr>
            <w:tcW w:w="0" w:type="auto"/>
            <w:shd w:val="clear" w:color="auto" w:fill="BDD6EE" w:themeFill="accent1" w:themeFillTint="66"/>
            <w:tcMar>
              <w:left w:w="14" w:type="dxa"/>
              <w:right w:w="14" w:type="dxa"/>
            </w:tcMar>
            <w:vAlign w:val="center"/>
          </w:tcPr>
          <w:p w:rsidR="00A37CE3" w:rsidRPr="00A37CE3" w:rsidRDefault="00A37CE3" w:rsidP="00A37CE3">
            <w:pPr>
              <w:jc w:val="center"/>
              <w:rPr>
                <w:rFonts w:eastAsia="Times New Roman"/>
                <w:b/>
                <w:bCs/>
                <w:sz w:val="16"/>
                <w:szCs w:val="16"/>
                <w:lang w:val="en-GB"/>
              </w:rPr>
            </w:pPr>
            <w:r w:rsidRPr="00A37CE3">
              <w:rPr>
                <w:b/>
                <w:bCs/>
                <w:sz w:val="16"/>
                <w:szCs w:val="16"/>
              </w:rPr>
              <w:t xml:space="preserve">33,379,367 </w:t>
            </w:r>
          </w:p>
        </w:tc>
        <w:tc>
          <w:tcPr>
            <w:tcW w:w="0" w:type="auto"/>
            <w:shd w:val="clear" w:color="auto" w:fill="BDD6EE" w:themeFill="accent1" w:themeFillTint="66"/>
            <w:tcMar>
              <w:left w:w="14" w:type="dxa"/>
              <w:right w:w="14" w:type="dxa"/>
            </w:tcMar>
            <w:vAlign w:val="center"/>
          </w:tcPr>
          <w:p w:rsidR="00A37CE3" w:rsidRPr="00A37CE3" w:rsidRDefault="00A37CE3" w:rsidP="00A37CE3">
            <w:pPr>
              <w:jc w:val="center"/>
              <w:rPr>
                <w:b/>
                <w:bCs/>
                <w:sz w:val="16"/>
                <w:szCs w:val="16"/>
              </w:rPr>
            </w:pPr>
            <w:r w:rsidRPr="00A37CE3">
              <w:rPr>
                <w:b/>
                <w:bCs/>
                <w:sz w:val="16"/>
                <w:szCs w:val="16"/>
              </w:rPr>
              <w:t xml:space="preserve">1,911,666 </w:t>
            </w:r>
          </w:p>
        </w:tc>
        <w:tc>
          <w:tcPr>
            <w:tcW w:w="0" w:type="auto"/>
            <w:shd w:val="clear" w:color="auto" w:fill="BDD6EE" w:themeFill="accent1" w:themeFillTint="66"/>
            <w:tcMar>
              <w:left w:w="14" w:type="dxa"/>
              <w:right w:w="14" w:type="dxa"/>
            </w:tcMar>
            <w:vAlign w:val="center"/>
          </w:tcPr>
          <w:p w:rsidR="00A37CE3" w:rsidRPr="00A37CE3" w:rsidRDefault="00A37CE3" w:rsidP="00A37CE3">
            <w:pPr>
              <w:jc w:val="center"/>
              <w:rPr>
                <w:b/>
                <w:bCs/>
                <w:sz w:val="16"/>
                <w:szCs w:val="16"/>
              </w:rPr>
            </w:pPr>
            <w:r w:rsidRPr="00A37CE3">
              <w:rPr>
                <w:b/>
                <w:bCs/>
                <w:sz w:val="16"/>
                <w:szCs w:val="16"/>
              </w:rPr>
              <w:t xml:space="preserve">2,903,299 </w:t>
            </w:r>
          </w:p>
        </w:tc>
        <w:tc>
          <w:tcPr>
            <w:tcW w:w="0" w:type="auto"/>
            <w:shd w:val="clear" w:color="auto" w:fill="BDD6EE" w:themeFill="accent1" w:themeFillTint="66"/>
            <w:tcMar>
              <w:left w:w="14" w:type="dxa"/>
              <w:right w:w="14" w:type="dxa"/>
            </w:tcMar>
            <w:vAlign w:val="center"/>
          </w:tcPr>
          <w:p w:rsidR="00A37CE3" w:rsidRPr="00A37CE3" w:rsidRDefault="00A37CE3" w:rsidP="00A37CE3">
            <w:pPr>
              <w:jc w:val="center"/>
              <w:rPr>
                <w:b/>
                <w:bCs/>
                <w:sz w:val="16"/>
                <w:szCs w:val="16"/>
              </w:rPr>
            </w:pPr>
            <w:r w:rsidRPr="00A37CE3">
              <w:rPr>
                <w:b/>
                <w:bCs/>
                <w:sz w:val="16"/>
                <w:szCs w:val="16"/>
              </w:rPr>
              <w:t xml:space="preserve">2,716,901 </w:t>
            </w:r>
          </w:p>
        </w:tc>
        <w:tc>
          <w:tcPr>
            <w:tcW w:w="0" w:type="auto"/>
            <w:shd w:val="clear" w:color="auto" w:fill="BDD6EE" w:themeFill="accent1" w:themeFillTint="66"/>
            <w:tcMar>
              <w:left w:w="14" w:type="dxa"/>
              <w:right w:w="14" w:type="dxa"/>
            </w:tcMar>
            <w:vAlign w:val="center"/>
          </w:tcPr>
          <w:p w:rsidR="00A37CE3" w:rsidRPr="00A37CE3" w:rsidRDefault="00A37CE3" w:rsidP="00A37CE3">
            <w:pPr>
              <w:jc w:val="center"/>
              <w:rPr>
                <w:b/>
                <w:bCs/>
                <w:sz w:val="16"/>
                <w:szCs w:val="16"/>
              </w:rPr>
            </w:pPr>
            <w:r w:rsidRPr="00A37CE3">
              <w:rPr>
                <w:b/>
                <w:bCs/>
                <w:sz w:val="16"/>
                <w:szCs w:val="16"/>
              </w:rPr>
              <w:t xml:space="preserve">7,531,867 </w:t>
            </w:r>
          </w:p>
        </w:tc>
        <w:tc>
          <w:tcPr>
            <w:tcW w:w="0" w:type="auto"/>
            <w:shd w:val="clear" w:color="auto" w:fill="BDD6EE" w:themeFill="accent1" w:themeFillTint="66"/>
            <w:tcMar>
              <w:left w:w="14" w:type="dxa"/>
              <w:right w:w="14" w:type="dxa"/>
            </w:tcMar>
            <w:vAlign w:val="center"/>
          </w:tcPr>
          <w:p w:rsidR="00A37CE3" w:rsidRPr="00A37CE3" w:rsidRDefault="00A37CE3" w:rsidP="00A37CE3">
            <w:pPr>
              <w:jc w:val="center"/>
              <w:rPr>
                <w:b/>
                <w:bCs/>
                <w:sz w:val="16"/>
                <w:szCs w:val="16"/>
              </w:rPr>
            </w:pPr>
            <w:r w:rsidRPr="00A37CE3">
              <w:rPr>
                <w:b/>
                <w:bCs/>
                <w:sz w:val="16"/>
                <w:szCs w:val="16"/>
              </w:rPr>
              <w:t xml:space="preserve">8,915,333 </w:t>
            </w:r>
          </w:p>
        </w:tc>
        <w:tc>
          <w:tcPr>
            <w:tcW w:w="0" w:type="auto"/>
            <w:shd w:val="clear" w:color="auto" w:fill="BDD6EE" w:themeFill="accent1" w:themeFillTint="66"/>
            <w:tcMar>
              <w:left w:w="14" w:type="dxa"/>
              <w:right w:w="14" w:type="dxa"/>
            </w:tcMar>
            <w:vAlign w:val="center"/>
          </w:tcPr>
          <w:p w:rsidR="00A37CE3" w:rsidRPr="00A37CE3" w:rsidRDefault="00A37CE3" w:rsidP="00A37CE3">
            <w:pPr>
              <w:jc w:val="center"/>
              <w:rPr>
                <w:b/>
                <w:bCs/>
                <w:sz w:val="16"/>
                <w:szCs w:val="16"/>
              </w:rPr>
            </w:pPr>
            <w:r w:rsidRPr="00A37CE3">
              <w:rPr>
                <w:b/>
                <w:bCs/>
                <w:sz w:val="16"/>
                <w:szCs w:val="16"/>
              </w:rPr>
              <w:t xml:space="preserve">8,668,333 </w:t>
            </w:r>
          </w:p>
        </w:tc>
        <w:tc>
          <w:tcPr>
            <w:tcW w:w="0" w:type="auto"/>
            <w:shd w:val="clear" w:color="auto" w:fill="BDD6EE" w:themeFill="accent1" w:themeFillTint="66"/>
            <w:tcMar>
              <w:left w:w="14" w:type="dxa"/>
              <w:right w:w="14" w:type="dxa"/>
            </w:tcMar>
            <w:vAlign w:val="center"/>
          </w:tcPr>
          <w:p w:rsidR="00A37CE3" w:rsidRPr="00A37CE3" w:rsidRDefault="00A37CE3" w:rsidP="00A37CE3">
            <w:pPr>
              <w:jc w:val="center"/>
              <w:rPr>
                <w:b/>
                <w:bCs/>
                <w:sz w:val="16"/>
                <w:szCs w:val="16"/>
              </w:rPr>
            </w:pPr>
            <w:r w:rsidRPr="00A37CE3">
              <w:rPr>
                <w:b/>
                <w:bCs/>
                <w:sz w:val="16"/>
                <w:szCs w:val="16"/>
              </w:rPr>
              <w:t xml:space="preserve">8,263,834 </w:t>
            </w:r>
          </w:p>
        </w:tc>
        <w:tc>
          <w:tcPr>
            <w:tcW w:w="0" w:type="auto"/>
            <w:shd w:val="clear" w:color="auto" w:fill="BDD6EE" w:themeFill="accent1" w:themeFillTint="66"/>
            <w:vAlign w:val="center"/>
          </w:tcPr>
          <w:p w:rsidR="00A37CE3" w:rsidRPr="0005437D" w:rsidRDefault="00A37CE3" w:rsidP="00A37CE3">
            <w:pPr>
              <w:rPr>
                <w:b/>
                <w:sz w:val="16"/>
                <w:szCs w:val="16"/>
              </w:rPr>
            </w:pPr>
          </w:p>
        </w:tc>
        <w:tc>
          <w:tcPr>
            <w:tcW w:w="0" w:type="auto"/>
            <w:shd w:val="clear" w:color="auto" w:fill="BDD6EE" w:themeFill="accent1" w:themeFillTint="66"/>
            <w:vAlign w:val="center"/>
          </w:tcPr>
          <w:p w:rsidR="00A37CE3" w:rsidRPr="0005437D" w:rsidRDefault="00A37CE3" w:rsidP="00A37CE3">
            <w:pPr>
              <w:rPr>
                <w:b/>
                <w:sz w:val="16"/>
                <w:szCs w:val="16"/>
              </w:rPr>
            </w:pPr>
          </w:p>
        </w:tc>
        <w:tc>
          <w:tcPr>
            <w:tcW w:w="0" w:type="auto"/>
            <w:shd w:val="clear" w:color="auto" w:fill="BDD6EE" w:themeFill="accent1" w:themeFillTint="66"/>
            <w:vAlign w:val="center"/>
          </w:tcPr>
          <w:p w:rsidR="00A37CE3" w:rsidRPr="0005437D" w:rsidRDefault="00A37CE3" w:rsidP="00A37CE3">
            <w:pPr>
              <w:rPr>
                <w:b/>
                <w:sz w:val="16"/>
                <w:szCs w:val="16"/>
              </w:rPr>
            </w:pPr>
          </w:p>
        </w:tc>
      </w:tr>
    </w:tbl>
    <w:p w:rsidR="00671FC0" w:rsidRDefault="00671FC0" w:rsidP="00AD59CB">
      <w:pPr>
        <w:sectPr w:rsidR="00671FC0" w:rsidSect="00671FC0">
          <w:pgSz w:w="16834" w:h="11909" w:orient="landscape" w:code="9"/>
          <w:pgMar w:top="1440" w:right="1267" w:bottom="1440" w:left="1440" w:header="720" w:footer="720" w:gutter="0"/>
          <w:cols w:space="720"/>
          <w:docGrid w:linePitch="360"/>
        </w:sectPr>
      </w:pPr>
      <w:r>
        <w:br w:type="page"/>
      </w:r>
    </w:p>
    <w:p w:rsidR="00881DF1" w:rsidRPr="00881DF1" w:rsidRDefault="00881DF1" w:rsidP="00931888">
      <w:pPr>
        <w:pStyle w:val="Heading2"/>
      </w:pPr>
      <w:bookmarkStart w:id="144" w:name="_Toc491379790"/>
      <w:bookmarkStart w:id="145" w:name="_Toc500140065"/>
      <w:r w:rsidRPr="00881DF1">
        <w:lastRenderedPageBreak/>
        <w:t>VI.2. Plan organizacionih i ljudskih kapaciteta za implementaciju, praćenje i vrednovanje strategije</w:t>
      </w:r>
      <w:bookmarkEnd w:id="144"/>
      <w:bookmarkEnd w:id="145"/>
    </w:p>
    <w:p w:rsidR="00603852" w:rsidRPr="00603852" w:rsidRDefault="00603852" w:rsidP="00603852">
      <w:pPr>
        <w:pStyle w:val="CommentText"/>
        <w:spacing w:before="120" w:after="120"/>
        <w:rPr>
          <w:rFonts w:eastAsia="Times New Roman"/>
          <w:bCs/>
          <w:kern w:val="32"/>
          <w:sz w:val="22"/>
        </w:rPr>
      </w:pPr>
      <w:r w:rsidRPr="00603852">
        <w:rPr>
          <w:rFonts w:eastAsia="Times New Roman"/>
          <w:bCs/>
          <w:kern w:val="32"/>
          <w:sz w:val="22"/>
        </w:rPr>
        <w:t xml:space="preserve">U toku izrade Strategije razvoja u Općini Kalesija nije bila uspostavljena jedinica za upravljanje razvojem (JURA). Postojali su pojedinačni referati koji se bave pojedinim razvojnim sektorima: jedan referat za poduzetništvo (stručni savjetnik za plan, analizu  i  poduzetništvo u okviru Odsjeka za poljoprivredu i poduzetništvo, Služba za poljoprivredu, budžet i inspekcijske poslove); jedan referat za zaštitu okoliša (viši stručni saradnik za komunalne poslove i ekologiju u okviru Odsjeka za komunalne poslove, Služba za prostorno planiranje, građenje i komunalne poslove) i jedan referat za društveni sektor (viši referent za društvene djelatnosti i rad sa mladima u okviru Odsjeka za društvene djelatnosti i opću upravu, Služba za opću upravu, boračko-invalidsku zaštitu i raseljena lica). </w:t>
      </w:r>
    </w:p>
    <w:p w:rsidR="007A6C74" w:rsidRDefault="007A6C74" w:rsidP="007A6C74">
      <w:pPr>
        <w:pStyle w:val="CommentText"/>
        <w:spacing w:after="120"/>
        <w:rPr>
          <w:rFonts w:eastAsia="Times New Roman"/>
          <w:bCs/>
          <w:color w:val="000000" w:themeColor="text1"/>
          <w:kern w:val="32"/>
          <w:sz w:val="22"/>
          <w:szCs w:val="22"/>
        </w:rPr>
      </w:pPr>
      <w:r w:rsidRPr="004A73E5">
        <w:rPr>
          <w:rFonts w:eastAsia="Times New Roman"/>
          <w:bCs/>
          <w:kern w:val="32"/>
          <w:sz w:val="22"/>
          <w:szCs w:val="22"/>
        </w:rPr>
        <w:t xml:space="preserve">Rukovodstvo Općine je prepoznalo potrebu da uspostavi funkcionalniju sistematizaciju, koja bi omogućila sistematsko praćenje realizacije pojedinačnih projekata i Strategije u cjelini. </w:t>
      </w:r>
      <w:r w:rsidRPr="004A73E5">
        <w:rPr>
          <w:rFonts w:eastAsia="Times New Roman"/>
          <w:bCs/>
          <w:i/>
          <w:kern w:val="32"/>
          <w:sz w:val="22"/>
          <w:szCs w:val="22"/>
        </w:rPr>
        <w:t>Pravilnikom o unutrašnjoj organizaciji službi za upravu Općine Kalesija</w:t>
      </w:r>
      <w:r w:rsidRPr="004A73E5">
        <w:rPr>
          <w:rFonts w:eastAsia="Times New Roman"/>
          <w:bCs/>
          <w:kern w:val="32"/>
          <w:sz w:val="22"/>
          <w:szCs w:val="22"/>
        </w:rPr>
        <w:t xml:space="preserve">, koji je Općinski načelnik usvojio 10.10.2017. godine, proširen je opis poslova stručnog savjetnika za ekonomski razvoj, plan i analizu u pravcu jačanja koordinacione uloge stručnog savjetnika sa stručnim saradnicima iz oblasti razvoja, Agencijom za razvoj općine Kalesija i drugim institucijama. Ovo se može smatrati prelaznim rješenjem, a u narednom periodu planira se uvođenje posebne organizacione strukture, u skladu sa preporukama MiPro metodologije za uspostavljanje jedinice za upravljanje razvojem. </w:t>
      </w:r>
      <w:r>
        <w:rPr>
          <w:rFonts w:eastAsia="Times New Roman"/>
          <w:bCs/>
          <w:color w:val="000000" w:themeColor="text1"/>
          <w:kern w:val="32"/>
          <w:sz w:val="22"/>
          <w:szCs w:val="22"/>
        </w:rPr>
        <w:t>Buduće</w:t>
      </w:r>
      <w:r w:rsidRPr="004A73E5">
        <w:rPr>
          <w:rFonts w:eastAsia="Times New Roman"/>
          <w:bCs/>
          <w:color w:val="000000" w:themeColor="text1"/>
          <w:kern w:val="32"/>
          <w:sz w:val="22"/>
          <w:szCs w:val="22"/>
        </w:rPr>
        <w:t xml:space="preserve"> r</w:t>
      </w:r>
      <w:r>
        <w:rPr>
          <w:rFonts w:eastAsia="Times New Roman"/>
          <w:bCs/>
          <w:color w:val="000000" w:themeColor="text1"/>
          <w:kern w:val="32"/>
          <w:sz w:val="22"/>
          <w:szCs w:val="22"/>
        </w:rPr>
        <w:t>j</w:t>
      </w:r>
      <w:r w:rsidRPr="004A73E5">
        <w:rPr>
          <w:rFonts w:eastAsia="Times New Roman"/>
          <w:bCs/>
          <w:color w:val="000000" w:themeColor="text1"/>
          <w:kern w:val="32"/>
          <w:sz w:val="22"/>
          <w:szCs w:val="22"/>
        </w:rPr>
        <w:t>ešenje je u okviru Stručne službe o</w:t>
      </w:r>
      <w:r>
        <w:rPr>
          <w:rFonts w:eastAsia="Times New Roman"/>
          <w:bCs/>
          <w:color w:val="000000" w:themeColor="text1"/>
          <w:kern w:val="32"/>
          <w:sz w:val="22"/>
          <w:szCs w:val="22"/>
        </w:rPr>
        <w:t>pćinskog načelnika formatirati O</w:t>
      </w:r>
      <w:r w:rsidRPr="004A73E5">
        <w:rPr>
          <w:rFonts w:eastAsia="Times New Roman"/>
          <w:bCs/>
          <w:color w:val="000000" w:themeColor="text1"/>
          <w:kern w:val="32"/>
          <w:sz w:val="22"/>
          <w:szCs w:val="22"/>
        </w:rPr>
        <w:t>dsjek za investicije i upravljanjem razvojem</w:t>
      </w:r>
      <w:r>
        <w:rPr>
          <w:rFonts w:eastAsia="Times New Roman"/>
          <w:bCs/>
          <w:color w:val="000000" w:themeColor="text1"/>
          <w:kern w:val="32"/>
          <w:sz w:val="22"/>
          <w:szCs w:val="22"/>
        </w:rPr>
        <w:t>, koji će biti</w:t>
      </w:r>
      <w:r w:rsidRPr="004A73E5">
        <w:rPr>
          <w:rFonts w:eastAsia="Times New Roman"/>
          <w:bCs/>
          <w:color w:val="000000" w:themeColor="text1"/>
          <w:kern w:val="32"/>
          <w:sz w:val="22"/>
          <w:szCs w:val="22"/>
        </w:rPr>
        <w:t xml:space="preserve"> direktno zadužen za sve procese upravljanja razvojem, uključujući kontinuiranu vertikalnu i horizontalnu komunikaciju unutar općinskog organa, te sa ostalim bitnim akterima na području općine. U saradnji sa drugim općinskim službama, Odsjek za investicije i upravljanjem razvojem koordiniraće pripremu i usklađivanje okvirnih i godišnjih programa rada službi i plana budžeta u skladu sa prioritetima iz strategije kako bi se osigurala povezanost plana realizacije strategije sa finansijskim okvirom. Odsjek za investicije i upravljanjem razvojem </w:t>
      </w:r>
      <w:r>
        <w:rPr>
          <w:rFonts w:eastAsia="Times New Roman"/>
          <w:bCs/>
          <w:color w:val="000000" w:themeColor="text1"/>
          <w:kern w:val="32"/>
          <w:sz w:val="22"/>
          <w:szCs w:val="22"/>
        </w:rPr>
        <w:t xml:space="preserve">će </w:t>
      </w:r>
      <w:r w:rsidRPr="004A73E5">
        <w:rPr>
          <w:rFonts w:eastAsia="Times New Roman"/>
          <w:bCs/>
          <w:color w:val="000000" w:themeColor="text1"/>
          <w:kern w:val="32"/>
          <w:sz w:val="22"/>
          <w:szCs w:val="22"/>
        </w:rPr>
        <w:t>vodi</w:t>
      </w:r>
      <w:r>
        <w:rPr>
          <w:rFonts w:eastAsia="Times New Roman"/>
          <w:bCs/>
          <w:color w:val="000000" w:themeColor="text1"/>
          <w:kern w:val="32"/>
          <w:sz w:val="22"/>
          <w:szCs w:val="22"/>
        </w:rPr>
        <w:t>ti</w:t>
      </w:r>
      <w:r w:rsidRPr="004A73E5">
        <w:rPr>
          <w:rFonts w:eastAsia="Times New Roman"/>
          <w:bCs/>
          <w:color w:val="000000" w:themeColor="text1"/>
          <w:kern w:val="32"/>
          <w:sz w:val="22"/>
          <w:szCs w:val="22"/>
        </w:rPr>
        <w:t xml:space="preserve"> ukupne evidencije iz oblasti ključnih indikatora razvoja, sektorsko-strateški</w:t>
      </w:r>
      <w:r>
        <w:rPr>
          <w:rFonts w:eastAsia="Times New Roman"/>
          <w:bCs/>
          <w:color w:val="000000" w:themeColor="text1"/>
          <w:kern w:val="32"/>
          <w:sz w:val="22"/>
          <w:szCs w:val="22"/>
        </w:rPr>
        <w:t>h indikatora, kao i programsko-</w:t>
      </w:r>
      <w:r w:rsidRPr="004A73E5">
        <w:rPr>
          <w:rFonts w:eastAsia="Times New Roman"/>
          <w:bCs/>
          <w:color w:val="000000" w:themeColor="text1"/>
          <w:kern w:val="32"/>
          <w:sz w:val="22"/>
          <w:szCs w:val="22"/>
        </w:rPr>
        <w:t xml:space="preserve">projektnih indikatora, definisanih Strategijom razvoja općine koristeći varijabli za praćenje indikatora.  </w:t>
      </w:r>
    </w:p>
    <w:p w:rsidR="007A6C74" w:rsidRPr="004A73E5" w:rsidRDefault="007A6C74" w:rsidP="007A6C74">
      <w:pPr>
        <w:pStyle w:val="CommentText"/>
        <w:spacing w:after="120"/>
        <w:rPr>
          <w:sz w:val="22"/>
          <w:szCs w:val="22"/>
        </w:rPr>
      </w:pPr>
      <w:r w:rsidRPr="004A73E5">
        <w:rPr>
          <w:sz w:val="22"/>
          <w:szCs w:val="22"/>
        </w:rPr>
        <w:t>Za aktivnosti eksterne koordinacije i komunikacije, izradiće se Plan komunikacije i promocije Strategije, u saradnji sa višim referentom za informisanje. Pri izradi ovog Plana koristiće se iskustva i rješenja iz faze izrade Strategije razvoja, stečena kroz prikupljanje ocjena, mišljenja i prijedloga od strane zainteresovanih aktera putem općinske web stranice i društvenih mreža.</w:t>
      </w:r>
    </w:p>
    <w:p w:rsidR="00603852" w:rsidRPr="00603852" w:rsidRDefault="00603852" w:rsidP="00603852">
      <w:pPr>
        <w:pStyle w:val="CommentText"/>
        <w:spacing w:before="120" w:after="120"/>
        <w:rPr>
          <w:sz w:val="22"/>
          <w:szCs w:val="22"/>
        </w:rPr>
      </w:pPr>
      <w:r w:rsidRPr="00603852">
        <w:rPr>
          <w:sz w:val="22"/>
          <w:szCs w:val="22"/>
        </w:rPr>
        <w:t>Važnu ulogu u implementaciji, praćenju i vrednovanju strategije imaće Partnerstvo za razvoj općine Kalesija, uspostavljeno 26.09.2017. godine. Partnerstvo je bilo uključeno u proces izrade Strategije, omogućujući doprinos zainteresovanih lokalnih aktera kroz dva organizovana sastanka: na prvom sastanku razmatran je nacrt strateške platforme, a na drugom sastanku razmatran je nacrt kompletne Strategije razvoja. Partnerstvo čine, pored predstavnika općinskog vijeća  i izvršne vlasti, predstavnici javnih ustanova, poslovnog sektora, mjesnih zajednica, nevladinih organizacija, sportskih i organizacija za kulturu, žena, marginalizovanih kategorija stanovništva (izbjegli, raseljeni, povratnici, dijaspora, nacionalne manjine i dr.),  kao i drugi relevantni akteri koji su se odazvali pozivu za Partnerstvo.</w:t>
      </w:r>
    </w:p>
    <w:p w:rsidR="00603852" w:rsidRPr="00603852" w:rsidRDefault="00603852" w:rsidP="00603852">
      <w:pPr>
        <w:pStyle w:val="CommentText"/>
        <w:spacing w:before="120" w:after="120"/>
        <w:rPr>
          <w:rFonts w:eastAsia="Times New Roman"/>
          <w:bCs/>
          <w:kern w:val="32"/>
          <w:sz w:val="22"/>
        </w:rPr>
      </w:pPr>
      <w:r w:rsidRPr="00603852">
        <w:rPr>
          <w:rFonts w:eastAsia="Times New Roman"/>
          <w:bCs/>
          <w:kern w:val="32"/>
          <w:sz w:val="22"/>
        </w:rPr>
        <w:t>U planu rada Partnerstva za razvoj predviđeno je da se Partnerstvo u fazi implementacije Strategije sastaje najmanje dva puta godišnje, kako bi razmatrali godišnje izvještaje o  implementaciji i učestvovali u ažuriranju trogodišnjeg plana implementacije. Ukoliko se ukaže potreba, Partnerstvo može da se sastane i više puta godišnje. Osim sjednica, Partnerstvo će, po potrebi, koristiti i druge modalitete rada (radionice, okrugle stolove, panel rasprave, forume, i dr.). Za pružanje operativne podrške radu Partnerstva biće zadužena jedinica za upravljanje razvojem.</w:t>
      </w:r>
    </w:p>
    <w:p w:rsidR="00603852" w:rsidRDefault="00603852" w:rsidP="00603852">
      <w:pPr>
        <w:pStyle w:val="CommentText"/>
        <w:spacing w:before="120" w:after="120"/>
        <w:rPr>
          <w:rFonts w:eastAsia="Times New Roman"/>
          <w:bCs/>
          <w:kern w:val="32"/>
          <w:sz w:val="22"/>
        </w:rPr>
      </w:pPr>
      <w:r w:rsidRPr="00603852">
        <w:rPr>
          <w:rFonts w:eastAsia="Times New Roman"/>
          <w:bCs/>
          <w:kern w:val="32"/>
          <w:sz w:val="22"/>
        </w:rPr>
        <w:t>Kontrolno vrednovanje implementacije Strategije razvoja izvršiće se na kraju petogodišnjeg perioda implementacije (2022. godine), a finalno vrednovanje u posljednjoj godini perioda implementacije Strategije. U okviru kontrolnog vrednovanja izvršiće se redefinisanje sektorskih ciljeva i sektorskih planova, te provjera validnosti strateških ciljeva. Finalno vrednovanje će poslužiti kao podloga za novi ciklus strateškog planiranja.</w:t>
      </w:r>
    </w:p>
    <w:p w:rsidR="00C65F5E" w:rsidRPr="00603852" w:rsidRDefault="00C65F5E" w:rsidP="00603852">
      <w:pPr>
        <w:pStyle w:val="CommentText"/>
        <w:spacing w:before="120" w:after="120"/>
        <w:rPr>
          <w:rFonts w:eastAsia="Times New Roman"/>
          <w:bCs/>
          <w:kern w:val="32"/>
          <w:sz w:val="22"/>
        </w:rPr>
      </w:pPr>
    </w:p>
    <w:p w:rsidR="00603852" w:rsidRDefault="00603852" w:rsidP="00603852">
      <w:pPr>
        <w:rPr>
          <w:b/>
        </w:rPr>
      </w:pPr>
      <w:r w:rsidRPr="00603852">
        <w:rPr>
          <w:b/>
          <w:lang w:val="hr-HR"/>
        </w:rPr>
        <w:t xml:space="preserve">Tabela ___. </w:t>
      </w:r>
      <w:r w:rsidRPr="00603852">
        <w:rPr>
          <w:b/>
        </w:rPr>
        <w:t>Pregled osnovnih aktivnosti i odgovornosti za implementaciju Strategije</w:t>
      </w:r>
    </w:p>
    <w:tbl>
      <w:tblPr>
        <w:tblW w:w="1098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6480"/>
      </w:tblGrid>
      <w:tr w:rsidR="00C65F5E" w:rsidRPr="00C65F5E" w:rsidTr="006E7CFD">
        <w:tc>
          <w:tcPr>
            <w:tcW w:w="10980" w:type="dxa"/>
            <w:gridSpan w:val="2"/>
            <w:tcBorders>
              <w:top w:val="single" w:sz="4" w:space="0" w:color="auto"/>
              <w:left w:val="single" w:sz="4" w:space="0" w:color="auto"/>
              <w:bottom w:val="single" w:sz="4" w:space="0" w:color="auto"/>
              <w:right w:val="single" w:sz="4" w:space="0" w:color="auto"/>
            </w:tcBorders>
            <w:shd w:val="clear" w:color="auto" w:fill="1F497D"/>
            <w:hideMark/>
          </w:tcPr>
          <w:p w:rsidR="00C65F5E" w:rsidRPr="00C65F5E" w:rsidRDefault="00C65F5E" w:rsidP="006E7CFD">
            <w:pPr>
              <w:spacing w:after="120"/>
              <w:contextualSpacing/>
              <w:jc w:val="center"/>
              <w:rPr>
                <w:b/>
                <w:color w:val="FFFFFF"/>
                <w:sz w:val="20"/>
                <w:szCs w:val="20"/>
              </w:rPr>
            </w:pPr>
            <w:r w:rsidRPr="00C65F5E">
              <w:rPr>
                <w:b/>
                <w:color w:val="FFFFFF"/>
                <w:sz w:val="20"/>
                <w:szCs w:val="20"/>
              </w:rPr>
              <w:lastRenderedPageBreak/>
              <w:t xml:space="preserve">Osnovne uloge i odgovornosti za implementaciju , praćenje, vrednovanje i izvještavanje </w:t>
            </w:r>
          </w:p>
        </w:tc>
      </w:tr>
      <w:tr w:rsidR="00C65F5E" w:rsidRPr="00C65F5E" w:rsidTr="006E7CFD">
        <w:tc>
          <w:tcPr>
            <w:tcW w:w="4500" w:type="dxa"/>
            <w:tcBorders>
              <w:top w:val="single" w:sz="4" w:space="0" w:color="auto"/>
              <w:left w:val="single" w:sz="4" w:space="0" w:color="auto"/>
              <w:bottom w:val="single" w:sz="4" w:space="0" w:color="auto"/>
              <w:right w:val="single" w:sz="4" w:space="0" w:color="auto"/>
            </w:tcBorders>
            <w:shd w:val="clear" w:color="auto" w:fill="B8CCE4"/>
            <w:hideMark/>
          </w:tcPr>
          <w:p w:rsidR="00C65F5E" w:rsidRPr="00C65F5E" w:rsidRDefault="00C65F5E" w:rsidP="006E7CFD">
            <w:pPr>
              <w:spacing w:after="120"/>
              <w:contextualSpacing/>
              <w:jc w:val="center"/>
              <w:rPr>
                <w:b/>
                <w:strike/>
                <w:sz w:val="20"/>
                <w:szCs w:val="20"/>
              </w:rPr>
            </w:pPr>
            <w:r w:rsidRPr="00C65F5E">
              <w:rPr>
                <w:b/>
                <w:sz w:val="20"/>
                <w:szCs w:val="20"/>
              </w:rPr>
              <w:t>Aktivnosti</w:t>
            </w:r>
            <w:r w:rsidRPr="00C65F5E">
              <w:rPr>
                <w:b/>
                <w:sz w:val="20"/>
                <w:szCs w:val="20"/>
                <w:vertAlign w:val="superscript"/>
              </w:rPr>
              <w:t>(*)</w:t>
            </w:r>
          </w:p>
        </w:tc>
        <w:tc>
          <w:tcPr>
            <w:tcW w:w="6480" w:type="dxa"/>
            <w:tcBorders>
              <w:top w:val="single" w:sz="4" w:space="0" w:color="auto"/>
              <w:left w:val="single" w:sz="4" w:space="0" w:color="auto"/>
              <w:bottom w:val="single" w:sz="4" w:space="0" w:color="auto"/>
              <w:right w:val="single" w:sz="4" w:space="0" w:color="auto"/>
            </w:tcBorders>
            <w:shd w:val="clear" w:color="auto" w:fill="B8CCE4"/>
            <w:hideMark/>
          </w:tcPr>
          <w:p w:rsidR="00C65F5E" w:rsidRPr="00C65F5E" w:rsidRDefault="00C65F5E" w:rsidP="006E7CFD">
            <w:pPr>
              <w:spacing w:after="120"/>
              <w:contextualSpacing/>
              <w:jc w:val="center"/>
              <w:rPr>
                <w:b/>
                <w:sz w:val="20"/>
                <w:szCs w:val="20"/>
              </w:rPr>
            </w:pPr>
            <w:r w:rsidRPr="00C65F5E">
              <w:rPr>
                <w:b/>
                <w:sz w:val="20"/>
                <w:szCs w:val="20"/>
              </w:rPr>
              <w:t>Nadležnost (ko?) /</w:t>
            </w:r>
          </w:p>
        </w:tc>
      </w:tr>
      <w:tr w:rsidR="00C65F5E" w:rsidRPr="00C65F5E" w:rsidTr="006E7CFD">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rsidR="00C65F5E" w:rsidRPr="00C65F5E" w:rsidRDefault="00C65F5E" w:rsidP="006E7CFD">
            <w:pPr>
              <w:spacing w:after="120"/>
              <w:contextualSpacing/>
              <w:rPr>
                <w:sz w:val="20"/>
                <w:szCs w:val="20"/>
              </w:rPr>
            </w:pPr>
            <w:r w:rsidRPr="00C65F5E">
              <w:rPr>
                <w:sz w:val="20"/>
                <w:szCs w:val="20"/>
              </w:rPr>
              <w:t>Priprema/ažuriranje Kalendara aktivnosti Jedinice za upravljanje razvojnim aktivnostima</w:t>
            </w:r>
          </w:p>
        </w:tc>
        <w:tc>
          <w:tcPr>
            <w:tcW w:w="6480" w:type="dxa"/>
            <w:tcBorders>
              <w:top w:val="single" w:sz="4" w:space="0" w:color="auto"/>
              <w:left w:val="single" w:sz="4" w:space="0" w:color="auto"/>
              <w:bottom w:val="single" w:sz="4" w:space="0" w:color="auto"/>
              <w:right w:val="single" w:sz="4" w:space="0" w:color="auto"/>
            </w:tcBorders>
            <w:shd w:val="clear" w:color="auto" w:fill="FFFFFF" w:themeFill="background1"/>
          </w:tcPr>
          <w:p w:rsidR="00C65F5E" w:rsidRPr="00C65F5E" w:rsidRDefault="00C65F5E" w:rsidP="006E7CFD">
            <w:pPr>
              <w:rPr>
                <w:sz w:val="20"/>
                <w:szCs w:val="20"/>
              </w:rPr>
            </w:pPr>
            <w:r w:rsidRPr="00C65F5E">
              <w:rPr>
                <w:b/>
                <w:bCs/>
                <w:sz w:val="20"/>
                <w:szCs w:val="20"/>
              </w:rPr>
              <w:t xml:space="preserve">Inicijator i vlasnik procesa: </w:t>
            </w:r>
            <w:r w:rsidRPr="00C65F5E">
              <w:rPr>
                <w:bCs/>
                <w:sz w:val="20"/>
                <w:szCs w:val="20"/>
              </w:rPr>
              <w:t>Rukovodilac</w:t>
            </w:r>
            <w:r w:rsidRPr="00C65F5E">
              <w:rPr>
                <w:rFonts w:eastAsia="MS PGothic"/>
                <w:sz w:val="20"/>
                <w:szCs w:val="20"/>
              </w:rPr>
              <w:t xml:space="preserve"> JURA-e ili Koordinator razvojnog tima RT-a </w:t>
            </w:r>
          </w:p>
          <w:p w:rsidR="00C65F5E" w:rsidRPr="00C65F5E" w:rsidRDefault="00C65F5E" w:rsidP="006E7CFD">
            <w:pPr>
              <w:rPr>
                <w:b/>
                <w:bCs/>
                <w:sz w:val="20"/>
                <w:szCs w:val="20"/>
              </w:rPr>
            </w:pPr>
            <w:r w:rsidRPr="00C65F5E">
              <w:rPr>
                <w:b/>
                <w:bCs/>
                <w:sz w:val="20"/>
                <w:szCs w:val="20"/>
              </w:rPr>
              <w:t xml:space="preserve">Nosioci i učesnici procesa: </w:t>
            </w:r>
            <w:r w:rsidRPr="00C65F5E">
              <w:rPr>
                <w:sz w:val="20"/>
                <w:szCs w:val="20"/>
              </w:rPr>
              <w:t>Ostali službenici JURA-a/RT-a</w:t>
            </w:r>
          </w:p>
        </w:tc>
      </w:tr>
      <w:tr w:rsidR="00C65F5E" w:rsidRPr="00C65F5E" w:rsidTr="006E7CFD">
        <w:tc>
          <w:tcPr>
            <w:tcW w:w="4500" w:type="dxa"/>
            <w:tcBorders>
              <w:top w:val="single" w:sz="4" w:space="0" w:color="auto"/>
              <w:left w:val="single" w:sz="4" w:space="0" w:color="auto"/>
              <w:bottom w:val="single" w:sz="4" w:space="0" w:color="auto"/>
              <w:right w:val="single" w:sz="4" w:space="0" w:color="auto"/>
            </w:tcBorders>
            <w:shd w:val="clear" w:color="auto" w:fill="DEEAF6"/>
          </w:tcPr>
          <w:p w:rsidR="00C65F5E" w:rsidRPr="00C65F5E" w:rsidRDefault="00C65F5E" w:rsidP="006E7CFD">
            <w:pPr>
              <w:spacing w:after="120"/>
              <w:contextualSpacing/>
              <w:rPr>
                <w:sz w:val="20"/>
                <w:szCs w:val="20"/>
              </w:rPr>
            </w:pPr>
            <w:r w:rsidRPr="00C65F5E">
              <w:rPr>
                <w:sz w:val="20"/>
                <w:szCs w:val="20"/>
              </w:rPr>
              <w:t xml:space="preserve">Definisanje prioriteta na osnovu strateško-programskih dokumenata za naredni 1+2 planski ciklus </w:t>
            </w:r>
          </w:p>
        </w:tc>
        <w:tc>
          <w:tcPr>
            <w:tcW w:w="6480" w:type="dxa"/>
            <w:tcBorders>
              <w:top w:val="single" w:sz="4" w:space="0" w:color="auto"/>
              <w:left w:val="single" w:sz="4" w:space="0" w:color="auto"/>
              <w:bottom w:val="single" w:sz="4" w:space="0" w:color="auto"/>
              <w:right w:val="single" w:sz="4" w:space="0" w:color="auto"/>
            </w:tcBorders>
            <w:shd w:val="clear" w:color="auto" w:fill="DEEAF6"/>
          </w:tcPr>
          <w:p w:rsidR="00C65F5E" w:rsidRPr="00C65F5E" w:rsidRDefault="00C65F5E" w:rsidP="006E7CFD">
            <w:pPr>
              <w:rPr>
                <w:sz w:val="20"/>
                <w:szCs w:val="20"/>
              </w:rPr>
            </w:pPr>
            <w:r w:rsidRPr="00C65F5E">
              <w:rPr>
                <w:b/>
                <w:bCs/>
                <w:sz w:val="20"/>
                <w:szCs w:val="20"/>
              </w:rPr>
              <w:t>Inicijator i vlasnik procesa:</w:t>
            </w:r>
            <w:r w:rsidRPr="00C65F5E">
              <w:rPr>
                <w:bCs/>
                <w:sz w:val="20"/>
                <w:szCs w:val="20"/>
              </w:rPr>
              <w:t xml:space="preserve"> Rukovodilac</w:t>
            </w:r>
            <w:r w:rsidRPr="00C65F5E">
              <w:rPr>
                <w:rFonts w:eastAsia="MS PGothic"/>
                <w:sz w:val="20"/>
                <w:szCs w:val="20"/>
              </w:rPr>
              <w:t xml:space="preserve"> JURA-e(**) ili Koordinator razvojnog tima (RT) zajedno sa Kabinetom grado/načelnika</w:t>
            </w:r>
          </w:p>
          <w:p w:rsidR="00C65F5E" w:rsidRPr="00C65F5E" w:rsidRDefault="00C65F5E" w:rsidP="006E7CFD">
            <w:pPr>
              <w:rPr>
                <w:rFonts w:eastAsia="MS PGothic"/>
                <w:sz w:val="20"/>
                <w:szCs w:val="20"/>
              </w:rPr>
            </w:pPr>
            <w:r w:rsidRPr="00C65F5E">
              <w:rPr>
                <w:b/>
                <w:sz w:val="20"/>
                <w:szCs w:val="20"/>
              </w:rPr>
              <w:t xml:space="preserve">Nosioci i učesnici u procesu: </w:t>
            </w:r>
            <w:r w:rsidRPr="00C65F5E">
              <w:rPr>
                <w:sz w:val="20"/>
                <w:szCs w:val="20"/>
              </w:rPr>
              <w:t xml:space="preserve">Rukovodioci nadležnih službi/odjeljenja JLS; Kolegij načelnika JLS; Ostali službenici JURA/RT </w:t>
            </w:r>
          </w:p>
        </w:tc>
      </w:tr>
      <w:tr w:rsidR="00C65F5E" w:rsidRPr="00C65F5E" w:rsidTr="006E7CFD">
        <w:tc>
          <w:tcPr>
            <w:tcW w:w="4500" w:type="dxa"/>
            <w:tcBorders>
              <w:top w:val="single" w:sz="4" w:space="0" w:color="auto"/>
              <w:left w:val="single" w:sz="4" w:space="0" w:color="auto"/>
              <w:bottom w:val="single" w:sz="4" w:space="0" w:color="auto"/>
              <w:right w:val="single" w:sz="4" w:space="0" w:color="auto"/>
            </w:tcBorders>
            <w:shd w:val="clear" w:color="auto" w:fill="FFFFFF"/>
          </w:tcPr>
          <w:p w:rsidR="00C65F5E" w:rsidRPr="00C65F5E" w:rsidRDefault="00C65F5E" w:rsidP="006E7CFD">
            <w:pPr>
              <w:rPr>
                <w:rFonts w:eastAsia="MS PGothic"/>
                <w:sz w:val="20"/>
                <w:szCs w:val="20"/>
              </w:rPr>
            </w:pPr>
            <w:r w:rsidRPr="00C65F5E">
              <w:rPr>
                <w:rFonts w:eastAsia="MS PGothic"/>
                <w:sz w:val="20"/>
                <w:szCs w:val="20"/>
              </w:rPr>
              <w:t>Priprema trogodišnjih/godišnjih planova rada službi, uključujući projekte iz strategije razvoja i vezane redovne aktivnosti</w:t>
            </w:r>
          </w:p>
        </w:tc>
        <w:tc>
          <w:tcPr>
            <w:tcW w:w="6480" w:type="dxa"/>
            <w:tcBorders>
              <w:top w:val="single" w:sz="4" w:space="0" w:color="auto"/>
              <w:left w:val="single" w:sz="4" w:space="0" w:color="auto"/>
              <w:bottom w:val="single" w:sz="4" w:space="0" w:color="auto"/>
              <w:right w:val="single" w:sz="4" w:space="0" w:color="auto"/>
            </w:tcBorders>
            <w:shd w:val="clear" w:color="auto" w:fill="FFFFFF"/>
          </w:tcPr>
          <w:p w:rsidR="00C65F5E" w:rsidRPr="00C65F5E" w:rsidRDefault="00C65F5E" w:rsidP="006E7CFD">
            <w:pPr>
              <w:rPr>
                <w:bCs/>
                <w:sz w:val="20"/>
                <w:szCs w:val="20"/>
              </w:rPr>
            </w:pPr>
            <w:r w:rsidRPr="00C65F5E">
              <w:rPr>
                <w:b/>
                <w:sz w:val="20"/>
                <w:szCs w:val="20"/>
              </w:rPr>
              <w:t>Inicijator i vlasnik procesa:</w:t>
            </w:r>
            <w:r w:rsidRPr="00C65F5E">
              <w:rPr>
                <w:sz w:val="20"/>
                <w:szCs w:val="20"/>
              </w:rPr>
              <w:t xml:space="preserve"> Rukovodioci nadležnih službi/odjeljenja JLS </w:t>
            </w:r>
          </w:p>
          <w:p w:rsidR="00C65F5E" w:rsidRPr="00C65F5E" w:rsidRDefault="00C65F5E" w:rsidP="006E7CFD">
            <w:pPr>
              <w:rPr>
                <w:sz w:val="20"/>
                <w:szCs w:val="20"/>
              </w:rPr>
            </w:pPr>
            <w:r w:rsidRPr="00C65F5E">
              <w:rPr>
                <w:b/>
                <w:bCs/>
                <w:sz w:val="20"/>
                <w:szCs w:val="20"/>
              </w:rPr>
              <w:t xml:space="preserve">Nosioci i učesnici u procesu: </w:t>
            </w:r>
            <w:r w:rsidRPr="00C65F5E">
              <w:rPr>
                <w:bCs/>
                <w:sz w:val="20"/>
                <w:szCs w:val="20"/>
              </w:rPr>
              <w:t>Rukovodilac</w:t>
            </w:r>
            <w:r w:rsidRPr="00C65F5E">
              <w:rPr>
                <w:rFonts w:eastAsia="MS PGothic"/>
                <w:sz w:val="20"/>
                <w:szCs w:val="20"/>
              </w:rPr>
              <w:t xml:space="preserve"> JURA-e ili Koordinator RT-a </w:t>
            </w:r>
          </w:p>
        </w:tc>
      </w:tr>
      <w:tr w:rsidR="00C65F5E" w:rsidRPr="00C65F5E" w:rsidTr="006E7CFD">
        <w:trPr>
          <w:trHeight w:val="674"/>
        </w:trPr>
        <w:tc>
          <w:tcPr>
            <w:tcW w:w="4500" w:type="dxa"/>
            <w:tcBorders>
              <w:top w:val="single" w:sz="4" w:space="0" w:color="auto"/>
              <w:left w:val="single" w:sz="4" w:space="0" w:color="auto"/>
              <w:bottom w:val="single" w:sz="4" w:space="0" w:color="auto"/>
              <w:right w:val="single" w:sz="4" w:space="0" w:color="auto"/>
            </w:tcBorders>
            <w:shd w:val="clear" w:color="auto" w:fill="DEEAF6"/>
          </w:tcPr>
          <w:p w:rsidR="00C65F5E" w:rsidRPr="00C65F5E" w:rsidRDefault="00C65F5E" w:rsidP="006E7CFD">
            <w:pPr>
              <w:rPr>
                <w:rFonts w:eastAsia="MS PGothic"/>
                <w:sz w:val="20"/>
                <w:szCs w:val="20"/>
              </w:rPr>
            </w:pPr>
            <w:r w:rsidRPr="00C65F5E">
              <w:rPr>
                <w:rFonts w:eastAsia="MS PGothic"/>
                <w:sz w:val="20"/>
                <w:szCs w:val="20"/>
              </w:rPr>
              <w:t xml:space="preserve">Izrada  Trogodišnjeg/Godišnjeg plana rada JLS </w:t>
            </w:r>
          </w:p>
        </w:tc>
        <w:tc>
          <w:tcPr>
            <w:tcW w:w="6480" w:type="dxa"/>
            <w:tcBorders>
              <w:top w:val="single" w:sz="4" w:space="0" w:color="auto"/>
              <w:left w:val="single" w:sz="4" w:space="0" w:color="auto"/>
              <w:bottom w:val="single" w:sz="4" w:space="0" w:color="auto"/>
              <w:right w:val="single" w:sz="4" w:space="0" w:color="auto"/>
            </w:tcBorders>
            <w:shd w:val="clear" w:color="auto" w:fill="DEEAF6"/>
          </w:tcPr>
          <w:p w:rsidR="00C65F5E" w:rsidRPr="00C65F5E" w:rsidRDefault="00C65F5E" w:rsidP="006E7CFD">
            <w:pPr>
              <w:rPr>
                <w:sz w:val="20"/>
                <w:szCs w:val="20"/>
              </w:rPr>
            </w:pPr>
            <w:r w:rsidRPr="00C65F5E">
              <w:rPr>
                <w:b/>
                <w:bCs/>
                <w:sz w:val="20"/>
                <w:szCs w:val="20"/>
              </w:rPr>
              <w:t>Inicijator i vlasnik procesa:</w:t>
            </w:r>
            <w:r w:rsidRPr="00C65F5E">
              <w:rPr>
                <w:bCs/>
                <w:sz w:val="20"/>
                <w:szCs w:val="20"/>
              </w:rPr>
              <w:t xml:space="preserve"> Rukovodilac</w:t>
            </w:r>
            <w:r w:rsidRPr="00C65F5E">
              <w:rPr>
                <w:rFonts w:eastAsia="MS PGothic"/>
                <w:sz w:val="20"/>
                <w:szCs w:val="20"/>
              </w:rPr>
              <w:t xml:space="preserve"> JURA-e ili Koordinator RT-a zajedno sa Kabinetom grado/načelnika</w:t>
            </w:r>
          </w:p>
          <w:p w:rsidR="00C65F5E" w:rsidRPr="00C65F5E" w:rsidRDefault="00C65F5E" w:rsidP="006E7CFD">
            <w:pPr>
              <w:rPr>
                <w:rFonts w:eastAsia="MS PGothic"/>
                <w:sz w:val="20"/>
                <w:szCs w:val="20"/>
              </w:rPr>
            </w:pPr>
            <w:r w:rsidRPr="00C65F5E">
              <w:rPr>
                <w:b/>
                <w:sz w:val="20"/>
                <w:szCs w:val="20"/>
              </w:rPr>
              <w:t>Nosioci i učesnici u procesu</w:t>
            </w:r>
            <w:r w:rsidRPr="00C65F5E">
              <w:rPr>
                <w:sz w:val="20"/>
                <w:szCs w:val="20"/>
              </w:rPr>
              <w:t>: Kolegij načelnika JLS</w:t>
            </w:r>
          </w:p>
        </w:tc>
      </w:tr>
      <w:tr w:rsidR="00C65F5E" w:rsidRPr="00C65F5E" w:rsidTr="006E7CFD">
        <w:tc>
          <w:tcPr>
            <w:tcW w:w="4500" w:type="dxa"/>
            <w:tcBorders>
              <w:top w:val="single" w:sz="4" w:space="0" w:color="auto"/>
              <w:left w:val="single" w:sz="4" w:space="0" w:color="auto"/>
              <w:bottom w:val="single" w:sz="4" w:space="0" w:color="auto"/>
              <w:right w:val="single" w:sz="4" w:space="0" w:color="auto"/>
            </w:tcBorders>
            <w:shd w:val="clear" w:color="auto" w:fill="FFFFFF"/>
          </w:tcPr>
          <w:p w:rsidR="00C65F5E" w:rsidRPr="00C65F5E" w:rsidRDefault="00C65F5E" w:rsidP="006E7CFD">
            <w:pPr>
              <w:rPr>
                <w:rFonts w:eastAsia="MS PGothic"/>
                <w:sz w:val="20"/>
                <w:szCs w:val="20"/>
              </w:rPr>
            </w:pPr>
            <w:r w:rsidRPr="00C65F5E">
              <w:rPr>
                <w:rFonts w:eastAsia="MS PGothic"/>
                <w:sz w:val="20"/>
                <w:szCs w:val="20"/>
              </w:rPr>
              <w:t>Uključivanje strateških projekata i aktivnosti u plan Budžeta (</w:t>
            </w:r>
            <w:r w:rsidRPr="00C65F5E">
              <w:rPr>
                <w:rFonts w:eastAsia="MS PGothic"/>
                <w:sz w:val="20"/>
                <w:szCs w:val="20"/>
                <w:u w:val="single"/>
              </w:rPr>
              <w:t>za narednu godinu)</w:t>
            </w:r>
          </w:p>
        </w:tc>
        <w:tc>
          <w:tcPr>
            <w:tcW w:w="6480" w:type="dxa"/>
            <w:tcBorders>
              <w:top w:val="single" w:sz="4" w:space="0" w:color="auto"/>
              <w:left w:val="single" w:sz="4" w:space="0" w:color="auto"/>
              <w:bottom w:val="single" w:sz="4" w:space="0" w:color="auto"/>
              <w:right w:val="single" w:sz="4" w:space="0" w:color="auto"/>
            </w:tcBorders>
            <w:shd w:val="clear" w:color="auto" w:fill="FFFFFF"/>
          </w:tcPr>
          <w:p w:rsidR="00C65F5E" w:rsidRPr="00C65F5E" w:rsidRDefault="00C65F5E" w:rsidP="006E7CFD">
            <w:pPr>
              <w:rPr>
                <w:rFonts w:eastAsia="MS PGothic"/>
                <w:sz w:val="20"/>
                <w:szCs w:val="20"/>
              </w:rPr>
            </w:pPr>
            <w:r w:rsidRPr="00C65F5E">
              <w:rPr>
                <w:rFonts w:eastAsia="MS PGothic"/>
                <w:b/>
                <w:sz w:val="20"/>
                <w:szCs w:val="20"/>
              </w:rPr>
              <w:t>Inicijator i vlasnik procesa:</w:t>
            </w:r>
            <w:r w:rsidRPr="00C65F5E">
              <w:rPr>
                <w:rFonts w:eastAsia="MS PGothic"/>
                <w:sz w:val="20"/>
                <w:szCs w:val="20"/>
              </w:rPr>
              <w:t xml:space="preserve"> Rukovodilac Službe/Odjeljenja za budžet i finansije </w:t>
            </w:r>
          </w:p>
          <w:p w:rsidR="00C65F5E" w:rsidRPr="00C65F5E" w:rsidRDefault="00C65F5E" w:rsidP="006E7CFD">
            <w:pPr>
              <w:rPr>
                <w:rFonts w:eastAsia="MS PGothic"/>
                <w:sz w:val="20"/>
                <w:szCs w:val="20"/>
              </w:rPr>
            </w:pPr>
            <w:r w:rsidRPr="00C65F5E">
              <w:rPr>
                <w:b/>
                <w:bCs/>
                <w:sz w:val="20"/>
                <w:szCs w:val="20"/>
              </w:rPr>
              <w:t xml:space="preserve">Nosioci i učesnici procesa: </w:t>
            </w:r>
            <w:r w:rsidRPr="00C65F5E">
              <w:rPr>
                <w:bCs/>
                <w:sz w:val="20"/>
                <w:szCs w:val="20"/>
              </w:rPr>
              <w:t>Rukovodilac</w:t>
            </w:r>
            <w:r w:rsidRPr="00C65F5E">
              <w:rPr>
                <w:rFonts w:eastAsia="MS PGothic"/>
                <w:sz w:val="20"/>
                <w:szCs w:val="20"/>
              </w:rPr>
              <w:t xml:space="preserve"> JURA-e/Koordinator RT-a; Kolegij načelnika JLS</w:t>
            </w:r>
          </w:p>
        </w:tc>
      </w:tr>
      <w:tr w:rsidR="00C65F5E" w:rsidRPr="00C65F5E" w:rsidTr="006E7CFD">
        <w:tc>
          <w:tcPr>
            <w:tcW w:w="4500" w:type="dxa"/>
            <w:tcBorders>
              <w:top w:val="single" w:sz="4" w:space="0" w:color="auto"/>
              <w:left w:val="single" w:sz="4" w:space="0" w:color="auto"/>
              <w:bottom w:val="single" w:sz="4" w:space="0" w:color="auto"/>
              <w:right w:val="single" w:sz="4" w:space="0" w:color="auto"/>
            </w:tcBorders>
            <w:shd w:val="clear" w:color="auto" w:fill="DEEAF6"/>
          </w:tcPr>
          <w:p w:rsidR="00C65F5E" w:rsidRPr="00C65F5E" w:rsidRDefault="00C65F5E" w:rsidP="006E7CFD">
            <w:pPr>
              <w:rPr>
                <w:rFonts w:eastAsia="MS PGothic"/>
                <w:sz w:val="20"/>
                <w:szCs w:val="20"/>
              </w:rPr>
            </w:pPr>
            <w:r w:rsidRPr="00C65F5E">
              <w:rPr>
                <w:rFonts w:eastAsia="MS PGothic"/>
                <w:sz w:val="20"/>
                <w:szCs w:val="20"/>
              </w:rPr>
              <w:t>Usklađivanje trogodišnjih/godišnjih planova rada službi/odjeljenja i Trogodišnjeg/Godišnjeg plana rada JLS sa usvojenim Budžetom (</w:t>
            </w:r>
            <w:r w:rsidRPr="00C65F5E">
              <w:rPr>
                <w:rFonts w:eastAsia="MS PGothic"/>
                <w:sz w:val="20"/>
                <w:szCs w:val="20"/>
                <w:u w:val="single"/>
              </w:rPr>
              <w:t>za narednu godinu)</w:t>
            </w:r>
          </w:p>
        </w:tc>
        <w:tc>
          <w:tcPr>
            <w:tcW w:w="6480" w:type="dxa"/>
            <w:tcBorders>
              <w:top w:val="single" w:sz="4" w:space="0" w:color="auto"/>
              <w:left w:val="single" w:sz="4" w:space="0" w:color="auto"/>
              <w:bottom w:val="single" w:sz="4" w:space="0" w:color="auto"/>
              <w:right w:val="single" w:sz="4" w:space="0" w:color="auto"/>
            </w:tcBorders>
            <w:shd w:val="clear" w:color="auto" w:fill="DEEAF6"/>
          </w:tcPr>
          <w:p w:rsidR="00C65F5E" w:rsidRPr="00C65F5E" w:rsidRDefault="00C65F5E" w:rsidP="006E7CFD">
            <w:pPr>
              <w:rPr>
                <w:sz w:val="20"/>
                <w:szCs w:val="20"/>
              </w:rPr>
            </w:pPr>
            <w:r w:rsidRPr="00C65F5E">
              <w:rPr>
                <w:b/>
                <w:bCs/>
                <w:sz w:val="20"/>
                <w:szCs w:val="20"/>
              </w:rPr>
              <w:t>Inicijator i vlasnik procesa:</w:t>
            </w:r>
            <w:r w:rsidRPr="00C65F5E">
              <w:rPr>
                <w:bCs/>
                <w:sz w:val="20"/>
                <w:szCs w:val="20"/>
              </w:rPr>
              <w:t xml:space="preserve"> Rukovodilac</w:t>
            </w:r>
            <w:r w:rsidRPr="00C65F5E">
              <w:rPr>
                <w:rFonts w:eastAsia="MS PGothic"/>
                <w:sz w:val="20"/>
                <w:szCs w:val="20"/>
              </w:rPr>
              <w:t xml:space="preserve"> JURA-e ili Koordinator RT-a  zajedno sa Kabinetom grado/načelnika</w:t>
            </w:r>
          </w:p>
          <w:p w:rsidR="00C65F5E" w:rsidRPr="00C65F5E" w:rsidRDefault="00C65F5E" w:rsidP="006E7CFD">
            <w:pPr>
              <w:rPr>
                <w:rFonts w:eastAsia="MS PGothic"/>
                <w:sz w:val="20"/>
                <w:szCs w:val="20"/>
              </w:rPr>
            </w:pPr>
            <w:r w:rsidRPr="00C65F5E">
              <w:rPr>
                <w:b/>
                <w:sz w:val="20"/>
                <w:szCs w:val="20"/>
              </w:rPr>
              <w:t>Nosioci i učesnici procesa:</w:t>
            </w:r>
            <w:r w:rsidRPr="00C65F5E">
              <w:rPr>
                <w:sz w:val="20"/>
                <w:szCs w:val="20"/>
              </w:rPr>
              <w:t xml:space="preserve"> Rukovodioci nadležnih službi/odjeljenja; </w:t>
            </w:r>
            <w:r w:rsidRPr="00C65F5E">
              <w:rPr>
                <w:rFonts w:eastAsia="MS PGothic"/>
                <w:sz w:val="20"/>
                <w:szCs w:val="20"/>
              </w:rPr>
              <w:t>Kolegij načelnika JLS</w:t>
            </w:r>
          </w:p>
        </w:tc>
      </w:tr>
      <w:tr w:rsidR="00C65F5E" w:rsidRPr="00C65F5E" w:rsidTr="006E7CFD">
        <w:tc>
          <w:tcPr>
            <w:tcW w:w="4500" w:type="dxa"/>
            <w:tcBorders>
              <w:top w:val="single" w:sz="4" w:space="0" w:color="auto"/>
              <w:left w:val="single" w:sz="4" w:space="0" w:color="auto"/>
              <w:bottom w:val="single" w:sz="4" w:space="0" w:color="auto"/>
              <w:right w:val="single" w:sz="4" w:space="0" w:color="auto"/>
            </w:tcBorders>
            <w:shd w:val="clear" w:color="auto" w:fill="auto"/>
          </w:tcPr>
          <w:p w:rsidR="00C65F5E" w:rsidRPr="00C65F5E" w:rsidRDefault="00C65F5E" w:rsidP="006E7CFD">
            <w:pPr>
              <w:rPr>
                <w:rFonts w:eastAsia="MS PGothic"/>
                <w:sz w:val="20"/>
                <w:szCs w:val="20"/>
              </w:rPr>
            </w:pPr>
            <w:r w:rsidRPr="00C65F5E">
              <w:rPr>
                <w:rFonts w:eastAsia="MS PGothic"/>
                <w:sz w:val="20"/>
                <w:szCs w:val="20"/>
              </w:rPr>
              <w:t>Usvajanje Godišnjeg plana rada JLS (</w:t>
            </w:r>
            <w:r w:rsidRPr="00C65F5E">
              <w:rPr>
                <w:rFonts w:eastAsia="MS PGothic"/>
                <w:sz w:val="20"/>
                <w:szCs w:val="20"/>
                <w:u w:val="single"/>
              </w:rPr>
              <w:t>za narednu godinu)</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C65F5E" w:rsidRPr="00C65F5E" w:rsidRDefault="00C65F5E" w:rsidP="006E7CFD">
            <w:pPr>
              <w:rPr>
                <w:bCs/>
                <w:sz w:val="20"/>
                <w:szCs w:val="20"/>
              </w:rPr>
            </w:pPr>
            <w:r w:rsidRPr="00C65F5E">
              <w:rPr>
                <w:rFonts w:eastAsia="MS PGothic"/>
                <w:b/>
                <w:sz w:val="20"/>
                <w:szCs w:val="20"/>
              </w:rPr>
              <w:t xml:space="preserve">Inicijator i vlasnik procesa: </w:t>
            </w:r>
            <w:r w:rsidRPr="00C65F5E">
              <w:rPr>
                <w:rFonts w:eastAsia="MS PGothic"/>
                <w:sz w:val="20"/>
                <w:szCs w:val="20"/>
              </w:rPr>
              <w:t>Načelnik JLS</w:t>
            </w:r>
          </w:p>
          <w:p w:rsidR="00C65F5E" w:rsidRPr="00C65F5E" w:rsidRDefault="00C65F5E" w:rsidP="006E7CFD">
            <w:pPr>
              <w:rPr>
                <w:rFonts w:eastAsia="MS PGothic"/>
                <w:sz w:val="20"/>
                <w:szCs w:val="20"/>
              </w:rPr>
            </w:pPr>
            <w:r w:rsidRPr="00C65F5E">
              <w:rPr>
                <w:b/>
                <w:bCs/>
                <w:sz w:val="20"/>
                <w:szCs w:val="20"/>
              </w:rPr>
              <w:t>Nosioci i učesnici u procesu:</w:t>
            </w:r>
            <w:r w:rsidRPr="00C65F5E">
              <w:rPr>
                <w:rFonts w:eastAsia="MS PGothic"/>
                <w:sz w:val="20"/>
                <w:szCs w:val="20"/>
              </w:rPr>
              <w:t xml:space="preserve">Općinsko vijeće ili Skupština opštine </w:t>
            </w:r>
          </w:p>
        </w:tc>
      </w:tr>
      <w:tr w:rsidR="00C65F5E" w:rsidRPr="00C65F5E" w:rsidTr="006E7CFD">
        <w:tc>
          <w:tcPr>
            <w:tcW w:w="4500" w:type="dxa"/>
            <w:tcBorders>
              <w:top w:val="single" w:sz="4" w:space="0" w:color="auto"/>
              <w:left w:val="single" w:sz="4" w:space="0" w:color="auto"/>
              <w:bottom w:val="single" w:sz="4" w:space="0" w:color="auto"/>
              <w:right w:val="single" w:sz="4" w:space="0" w:color="auto"/>
            </w:tcBorders>
            <w:shd w:val="clear" w:color="auto" w:fill="auto"/>
          </w:tcPr>
          <w:p w:rsidR="00C65F5E" w:rsidRPr="00C65F5E" w:rsidRDefault="00C65F5E" w:rsidP="006E7CFD">
            <w:pPr>
              <w:rPr>
                <w:rFonts w:eastAsia="MS PGothic"/>
                <w:sz w:val="20"/>
                <w:szCs w:val="20"/>
              </w:rPr>
            </w:pPr>
            <w:r w:rsidRPr="00C65F5E">
              <w:rPr>
                <w:rFonts w:eastAsia="MS PGothic"/>
                <w:sz w:val="20"/>
                <w:szCs w:val="20"/>
              </w:rPr>
              <w:t>Razrada projekata iz Godišnjeg plana rada JLS</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C65F5E" w:rsidRPr="00C65F5E" w:rsidRDefault="00C65F5E" w:rsidP="006E7CFD">
            <w:pPr>
              <w:rPr>
                <w:sz w:val="20"/>
                <w:szCs w:val="20"/>
              </w:rPr>
            </w:pPr>
            <w:r w:rsidRPr="00C65F5E">
              <w:rPr>
                <w:b/>
                <w:bCs/>
                <w:sz w:val="20"/>
                <w:szCs w:val="20"/>
              </w:rPr>
              <w:t>Inicijator i vlasnik procesa:</w:t>
            </w:r>
            <w:r w:rsidRPr="00C65F5E">
              <w:rPr>
                <w:bCs/>
                <w:sz w:val="20"/>
                <w:szCs w:val="20"/>
              </w:rPr>
              <w:t xml:space="preserve"> Rukovodilac</w:t>
            </w:r>
            <w:r w:rsidRPr="00C65F5E">
              <w:rPr>
                <w:rFonts w:eastAsia="MS PGothic"/>
                <w:sz w:val="20"/>
                <w:szCs w:val="20"/>
              </w:rPr>
              <w:t xml:space="preserve"> JURA-e ili Koordinator RT-a</w:t>
            </w:r>
          </w:p>
          <w:p w:rsidR="00C65F5E" w:rsidRPr="00C65F5E" w:rsidRDefault="00C65F5E" w:rsidP="006E7CFD">
            <w:pPr>
              <w:rPr>
                <w:rFonts w:eastAsia="MS PGothic"/>
                <w:sz w:val="20"/>
                <w:szCs w:val="20"/>
              </w:rPr>
            </w:pPr>
            <w:r w:rsidRPr="00C65F5E">
              <w:rPr>
                <w:b/>
                <w:sz w:val="20"/>
                <w:szCs w:val="20"/>
              </w:rPr>
              <w:t>Nosioci i učesnici procesa:</w:t>
            </w:r>
            <w:r w:rsidRPr="00C65F5E">
              <w:rPr>
                <w:sz w:val="20"/>
                <w:szCs w:val="20"/>
              </w:rPr>
              <w:t xml:space="preserve"> Ostali službenici JURA-e/RT-a, </w:t>
            </w:r>
            <w:r w:rsidRPr="00C65F5E">
              <w:rPr>
                <w:rFonts w:eastAsia="MS PGothic"/>
                <w:sz w:val="20"/>
                <w:szCs w:val="20"/>
              </w:rPr>
              <w:t xml:space="preserve">Nadležne službe/odjeljenja </w:t>
            </w:r>
          </w:p>
        </w:tc>
      </w:tr>
      <w:tr w:rsidR="00C65F5E" w:rsidRPr="00C65F5E" w:rsidTr="006E7CFD">
        <w:tc>
          <w:tcPr>
            <w:tcW w:w="4500" w:type="dxa"/>
            <w:tcBorders>
              <w:top w:val="single" w:sz="4" w:space="0" w:color="auto"/>
              <w:left w:val="single" w:sz="4" w:space="0" w:color="auto"/>
              <w:bottom w:val="single" w:sz="4" w:space="0" w:color="auto"/>
              <w:right w:val="single" w:sz="4" w:space="0" w:color="auto"/>
            </w:tcBorders>
            <w:shd w:val="clear" w:color="auto" w:fill="DEEAF6"/>
          </w:tcPr>
          <w:p w:rsidR="00C65F5E" w:rsidRPr="00C65F5E" w:rsidRDefault="00C65F5E" w:rsidP="006E7CFD">
            <w:pPr>
              <w:rPr>
                <w:rFonts w:eastAsia="MS PGothic"/>
                <w:sz w:val="20"/>
                <w:szCs w:val="20"/>
              </w:rPr>
            </w:pPr>
            <w:r w:rsidRPr="00C65F5E">
              <w:rPr>
                <w:rFonts w:eastAsia="MS PGothic"/>
                <w:sz w:val="20"/>
                <w:szCs w:val="20"/>
              </w:rPr>
              <w:t>Praćenje i privlačenje eksternih izvora finansiranja projekata</w:t>
            </w:r>
          </w:p>
        </w:tc>
        <w:tc>
          <w:tcPr>
            <w:tcW w:w="6480" w:type="dxa"/>
            <w:tcBorders>
              <w:top w:val="single" w:sz="4" w:space="0" w:color="auto"/>
              <w:left w:val="single" w:sz="4" w:space="0" w:color="auto"/>
              <w:bottom w:val="single" w:sz="4" w:space="0" w:color="auto"/>
              <w:right w:val="single" w:sz="4" w:space="0" w:color="auto"/>
            </w:tcBorders>
            <w:shd w:val="clear" w:color="auto" w:fill="DEEAF6"/>
          </w:tcPr>
          <w:p w:rsidR="00C65F5E" w:rsidRPr="00C65F5E" w:rsidRDefault="00C65F5E" w:rsidP="006E7CFD">
            <w:pPr>
              <w:rPr>
                <w:sz w:val="20"/>
                <w:szCs w:val="20"/>
              </w:rPr>
            </w:pPr>
            <w:r w:rsidRPr="00C65F5E">
              <w:rPr>
                <w:b/>
                <w:bCs/>
                <w:sz w:val="20"/>
                <w:szCs w:val="20"/>
              </w:rPr>
              <w:t>Inicijator i vlasnik procesa:</w:t>
            </w:r>
            <w:r w:rsidRPr="00C65F5E">
              <w:rPr>
                <w:bCs/>
                <w:sz w:val="20"/>
                <w:szCs w:val="20"/>
              </w:rPr>
              <w:t xml:space="preserve"> Rukovodilac</w:t>
            </w:r>
            <w:r w:rsidRPr="00C65F5E">
              <w:rPr>
                <w:rFonts w:eastAsia="MS PGothic"/>
                <w:sz w:val="20"/>
                <w:szCs w:val="20"/>
              </w:rPr>
              <w:t xml:space="preserve"> JURA-e ili Koordinator RT-a </w:t>
            </w:r>
          </w:p>
          <w:p w:rsidR="00C65F5E" w:rsidRPr="00C65F5E" w:rsidRDefault="00C65F5E" w:rsidP="006E7CFD">
            <w:pPr>
              <w:tabs>
                <w:tab w:val="left" w:pos="60"/>
                <w:tab w:val="left" w:pos="724"/>
                <w:tab w:val="left" w:pos="2940"/>
              </w:tabs>
              <w:autoSpaceDE w:val="0"/>
              <w:autoSpaceDN w:val="0"/>
              <w:rPr>
                <w:rFonts w:eastAsia="MS PGothic"/>
                <w:sz w:val="20"/>
                <w:szCs w:val="20"/>
              </w:rPr>
            </w:pPr>
            <w:r w:rsidRPr="00C65F5E">
              <w:rPr>
                <w:rFonts w:eastAsia="MS PGothic"/>
                <w:b/>
                <w:sz w:val="20"/>
                <w:szCs w:val="20"/>
              </w:rPr>
              <w:t xml:space="preserve">Nosioci i učesnici procesa: </w:t>
            </w:r>
            <w:r w:rsidRPr="00C65F5E">
              <w:rPr>
                <w:rFonts w:eastAsia="MS PGothic"/>
                <w:sz w:val="20"/>
                <w:szCs w:val="20"/>
              </w:rPr>
              <w:t xml:space="preserve">Nadležne službe/odjeljenja; </w:t>
            </w:r>
            <w:r w:rsidRPr="00C65F5E">
              <w:rPr>
                <w:sz w:val="20"/>
                <w:szCs w:val="20"/>
              </w:rPr>
              <w:t>Ostali službenici JURA-e/RT-a</w:t>
            </w:r>
          </w:p>
        </w:tc>
      </w:tr>
      <w:tr w:rsidR="00C65F5E" w:rsidRPr="00C65F5E" w:rsidTr="006E7CFD">
        <w:tc>
          <w:tcPr>
            <w:tcW w:w="4500" w:type="dxa"/>
            <w:tcBorders>
              <w:top w:val="single" w:sz="4" w:space="0" w:color="auto"/>
              <w:left w:val="single" w:sz="4" w:space="0" w:color="auto"/>
              <w:bottom w:val="single" w:sz="4" w:space="0" w:color="auto"/>
              <w:right w:val="single" w:sz="4" w:space="0" w:color="auto"/>
            </w:tcBorders>
            <w:shd w:val="clear" w:color="auto" w:fill="auto"/>
          </w:tcPr>
          <w:p w:rsidR="00C65F5E" w:rsidRPr="00C65F5E" w:rsidRDefault="00C65F5E" w:rsidP="006E7CFD">
            <w:pPr>
              <w:rPr>
                <w:rFonts w:eastAsia="MS PGothic"/>
                <w:sz w:val="20"/>
                <w:szCs w:val="20"/>
              </w:rPr>
            </w:pPr>
            <w:r w:rsidRPr="00C65F5E">
              <w:rPr>
                <w:rFonts w:eastAsia="MS PGothic"/>
                <w:sz w:val="20"/>
                <w:szCs w:val="20"/>
              </w:rPr>
              <w:t>Praćenje provođenja Godišnjeg plana rada JLS i ostvarenja strateških i sektorskih ciljeva</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C65F5E" w:rsidRPr="00C65F5E" w:rsidRDefault="00C65F5E" w:rsidP="006E7CFD">
            <w:pPr>
              <w:rPr>
                <w:rFonts w:eastAsia="MS PGothic"/>
                <w:sz w:val="20"/>
                <w:szCs w:val="20"/>
              </w:rPr>
            </w:pPr>
            <w:r w:rsidRPr="00C65F5E">
              <w:rPr>
                <w:b/>
                <w:bCs/>
                <w:sz w:val="20"/>
                <w:szCs w:val="20"/>
              </w:rPr>
              <w:t>Inicijator i vlasnik procesa:</w:t>
            </w:r>
            <w:r w:rsidRPr="00C65F5E">
              <w:rPr>
                <w:bCs/>
                <w:sz w:val="20"/>
                <w:szCs w:val="20"/>
              </w:rPr>
              <w:t xml:space="preserve"> Rukovodilac</w:t>
            </w:r>
            <w:r w:rsidRPr="00C65F5E">
              <w:rPr>
                <w:rFonts w:eastAsia="MS PGothic"/>
                <w:sz w:val="20"/>
                <w:szCs w:val="20"/>
              </w:rPr>
              <w:t xml:space="preserve"> JURA-e ili Koordinator RT-a</w:t>
            </w:r>
          </w:p>
          <w:p w:rsidR="00C65F5E" w:rsidRPr="00C65F5E" w:rsidRDefault="00C65F5E" w:rsidP="006E7CFD">
            <w:pPr>
              <w:rPr>
                <w:rFonts w:eastAsia="MS PGothic"/>
                <w:sz w:val="20"/>
                <w:szCs w:val="20"/>
              </w:rPr>
            </w:pPr>
            <w:r w:rsidRPr="00C65F5E">
              <w:rPr>
                <w:b/>
                <w:sz w:val="20"/>
                <w:szCs w:val="20"/>
              </w:rPr>
              <w:t xml:space="preserve">Nosioci i učesnici procesa: </w:t>
            </w:r>
            <w:r w:rsidRPr="00C65F5E">
              <w:rPr>
                <w:sz w:val="20"/>
                <w:szCs w:val="20"/>
              </w:rPr>
              <w:t xml:space="preserve">Ostali službenici JURA-e/RT-a; </w:t>
            </w:r>
            <w:r w:rsidRPr="00C65F5E">
              <w:rPr>
                <w:rFonts w:eastAsia="MS PGothic"/>
                <w:sz w:val="20"/>
                <w:szCs w:val="20"/>
              </w:rPr>
              <w:t>Šefovi službi/odjeljenja</w:t>
            </w:r>
          </w:p>
        </w:tc>
      </w:tr>
      <w:tr w:rsidR="00C65F5E" w:rsidRPr="00C65F5E" w:rsidTr="006E7CFD">
        <w:tc>
          <w:tcPr>
            <w:tcW w:w="4500" w:type="dxa"/>
            <w:tcBorders>
              <w:top w:val="single" w:sz="4" w:space="0" w:color="auto"/>
              <w:left w:val="single" w:sz="4" w:space="0" w:color="auto"/>
              <w:bottom w:val="single" w:sz="4" w:space="0" w:color="auto"/>
              <w:right w:val="single" w:sz="4" w:space="0" w:color="auto"/>
            </w:tcBorders>
            <w:shd w:val="clear" w:color="auto" w:fill="DEEAF6"/>
          </w:tcPr>
          <w:p w:rsidR="00C65F5E" w:rsidRPr="00C65F5E" w:rsidRDefault="00C65F5E" w:rsidP="006E7CFD">
            <w:pPr>
              <w:rPr>
                <w:rFonts w:eastAsia="MS PGothic"/>
                <w:sz w:val="20"/>
                <w:szCs w:val="20"/>
              </w:rPr>
            </w:pPr>
            <w:r w:rsidRPr="00C65F5E">
              <w:rPr>
                <w:rFonts w:eastAsia="MS PGothic"/>
                <w:sz w:val="20"/>
                <w:szCs w:val="20"/>
              </w:rPr>
              <w:t>Izrada godišnjih izvještaja o radu službi/odjeljenja</w:t>
            </w:r>
          </w:p>
        </w:tc>
        <w:tc>
          <w:tcPr>
            <w:tcW w:w="6480" w:type="dxa"/>
            <w:tcBorders>
              <w:top w:val="single" w:sz="4" w:space="0" w:color="auto"/>
              <w:left w:val="single" w:sz="4" w:space="0" w:color="auto"/>
              <w:bottom w:val="single" w:sz="4" w:space="0" w:color="auto"/>
              <w:right w:val="single" w:sz="4" w:space="0" w:color="auto"/>
            </w:tcBorders>
            <w:shd w:val="clear" w:color="auto" w:fill="DEEAF6"/>
          </w:tcPr>
          <w:p w:rsidR="00C65F5E" w:rsidRPr="00C65F5E" w:rsidRDefault="00C65F5E" w:rsidP="006E7CFD">
            <w:pPr>
              <w:rPr>
                <w:rFonts w:eastAsia="MS PGothic"/>
                <w:sz w:val="20"/>
                <w:szCs w:val="20"/>
              </w:rPr>
            </w:pPr>
            <w:r w:rsidRPr="00C65F5E">
              <w:rPr>
                <w:rFonts w:eastAsia="MS PGothic"/>
                <w:b/>
                <w:sz w:val="20"/>
                <w:szCs w:val="20"/>
              </w:rPr>
              <w:t>Inicijator i vlasnik procesa:</w:t>
            </w:r>
            <w:r w:rsidRPr="00C65F5E">
              <w:rPr>
                <w:rFonts w:eastAsia="MS PGothic"/>
                <w:sz w:val="20"/>
                <w:szCs w:val="20"/>
              </w:rPr>
              <w:t xml:space="preserve"> Rukovodioci službi/odjeljenja </w:t>
            </w:r>
          </w:p>
          <w:p w:rsidR="00C65F5E" w:rsidRPr="00C65F5E" w:rsidRDefault="00C65F5E" w:rsidP="006E7CFD">
            <w:pPr>
              <w:rPr>
                <w:rFonts w:eastAsia="MS PGothic"/>
                <w:sz w:val="20"/>
                <w:szCs w:val="20"/>
              </w:rPr>
            </w:pPr>
            <w:r w:rsidRPr="00C65F5E">
              <w:rPr>
                <w:rFonts w:eastAsia="MS PGothic"/>
                <w:b/>
                <w:sz w:val="20"/>
                <w:szCs w:val="20"/>
              </w:rPr>
              <w:t xml:space="preserve">Nosioci i učesnici procesa: </w:t>
            </w:r>
            <w:r w:rsidRPr="00C65F5E">
              <w:rPr>
                <w:rFonts w:eastAsia="MS PGothic"/>
                <w:sz w:val="20"/>
                <w:szCs w:val="20"/>
              </w:rPr>
              <w:t xml:space="preserve">Kolegij načelnika JLS; </w:t>
            </w:r>
            <w:r w:rsidRPr="00C65F5E">
              <w:rPr>
                <w:bCs/>
                <w:sz w:val="20"/>
                <w:szCs w:val="20"/>
              </w:rPr>
              <w:t>Rukovodilac</w:t>
            </w:r>
            <w:r w:rsidRPr="00C65F5E">
              <w:rPr>
                <w:rFonts w:eastAsia="MS PGothic"/>
                <w:sz w:val="20"/>
                <w:szCs w:val="20"/>
              </w:rPr>
              <w:t xml:space="preserve"> JURA-e ili Koordinator RT-a; </w:t>
            </w:r>
            <w:r w:rsidRPr="00C65F5E">
              <w:rPr>
                <w:sz w:val="20"/>
                <w:szCs w:val="20"/>
              </w:rPr>
              <w:t>Ostali službenici JURA-e/RT-a</w:t>
            </w:r>
          </w:p>
        </w:tc>
      </w:tr>
      <w:tr w:rsidR="00C65F5E" w:rsidRPr="00C65F5E" w:rsidTr="006E7CFD">
        <w:tc>
          <w:tcPr>
            <w:tcW w:w="4500" w:type="dxa"/>
            <w:tcBorders>
              <w:top w:val="single" w:sz="4" w:space="0" w:color="auto"/>
              <w:left w:val="single" w:sz="4" w:space="0" w:color="auto"/>
              <w:bottom w:val="single" w:sz="4" w:space="0" w:color="auto"/>
              <w:right w:val="single" w:sz="4" w:space="0" w:color="auto"/>
            </w:tcBorders>
            <w:shd w:val="clear" w:color="auto" w:fill="auto"/>
          </w:tcPr>
          <w:p w:rsidR="00C65F5E" w:rsidRPr="00C65F5E" w:rsidRDefault="00C65F5E" w:rsidP="006E7CFD">
            <w:pPr>
              <w:rPr>
                <w:rFonts w:eastAsia="MS PGothic"/>
                <w:sz w:val="20"/>
                <w:szCs w:val="20"/>
              </w:rPr>
            </w:pPr>
            <w:r w:rsidRPr="00C65F5E">
              <w:rPr>
                <w:rFonts w:eastAsia="MS PGothic"/>
                <w:sz w:val="20"/>
                <w:szCs w:val="20"/>
              </w:rPr>
              <w:t>Uključivanje Partnerske grupe u praćenje provođenja strategije lokalnog razvoja</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C65F5E" w:rsidRPr="00C65F5E" w:rsidRDefault="00C65F5E" w:rsidP="006E7CFD">
            <w:pPr>
              <w:rPr>
                <w:rFonts w:eastAsia="MS PGothic"/>
                <w:sz w:val="20"/>
                <w:szCs w:val="20"/>
              </w:rPr>
            </w:pPr>
            <w:r w:rsidRPr="00C65F5E">
              <w:rPr>
                <w:b/>
                <w:bCs/>
                <w:sz w:val="20"/>
                <w:szCs w:val="20"/>
              </w:rPr>
              <w:t xml:space="preserve">Inicijator i vlasnik procesa: </w:t>
            </w:r>
            <w:r w:rsidRPr="00C65F5E">
              <w:rPr>
                <w:bCs/>
                <w:sz w:val="20"/>
                <w:szCs w:val="20"/>
              </w:rPr>
              <w:t>Rukovodilac</w:t>
            </w:r>
            <w:r w:rsidRPr="00C65F5E">
              <w:rPr>
                <w:rFonts w:eastAsia="MS PGothic"/>
                <w:sz w:val="20"/>
                <w:szCs w:val="20"/>
              </w:rPr>
              <w:t xml:space="preserve"> JURA-e ili Koordinator RT-a</w:t>
            </w:r>
          </w:p>
          <w:p w:rsidR="00C65F5E" w:rsidRPr="00C65F5E" w:rsidRDefault="00C65F5E" w:rsidP="006E7CFD">
            <w:pPr>
              <w:rPr>
                <w:rFonts w:eastAsia="MS PGothic"/>
                <w:sz w:val="20"/>
                <w:szCs w:val="20"/>
              </w:rPr>
            </w:pPr>
            <w:r w:rsidRPr="00C65F5E">
              <w:rPr>
                <w:b/>
                <w:sz w:val="20"/>
                <w:szCs w:val="20"/>
              </w:rPr>
              <w:t xml:space="preserve">Nosioci i učesnici u procesu: </w:t>
            </w:r>
            <w:r w:rsidRPr="00C65F5E">
              <w:rPr>
                <w:sz w:val="20"/>
                <w:szCs w:val="20"/>
              </w:rPr>
              <w:t xml:space="preserve">Ostali službenici JURA-e/RT-a; </w:t>
            </w:r>
            <w:r w:rsidRPr="00C65F5E">
              <w:rPr>
                <w:rFonts w:eastAsia="MS PGothic"/>
                <w:sz w:val="20"/>
                <w:szCs w:val="20"/>
              </w:rPr>
              <w:t>Partnerska grupa/Razvojni tim</w:t>
            </w:r>
          </w:p>
        </w:tc>
      </w:tr>
      <w:tr w:rsidR="00C65F5E" w:rsidRPr="00C65F5E" w:rsidTr="006E7CFD">
        <w:tc>
          <w:tcPr>
            <w:tcW w:w="450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65F5E" w:rsidRPr="00C65F5E" w:rsidRDefault="00C65F5E" w:rsidP="006E7CFD">
            <w:pPr>
              <w:rPr>
                <w:rFonts w:eastAsia="MS PGothic"/>
                <w:sz w:val="20"/>
                <w:szCs w:val="20"/>
              </w:rPr>
            </w:pPr>
            <w:r w:rsidRPr="00C65F5E">
              <w:rPr>
                <w:rFonts w:eastAsia="MS PGothic"/>
                <w:sz w:val="20"/>
                <w:szCs w:val="20"/>
              </w:rPr>
              <w:t>Priprema i razmatranje Izvještaja o razvoju (za prethodnu godinu)</w:t>
            </w:r>
          </w:p>
        </w:tc>
        <w:tc>
          <w:tcPr>
            <w:tcW w:w="648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65F5E" w:rsidRPr="00C65F5E" w:rsidRDefault="00C65F5E" w:rsidP="006E7CFD">
            <w:pPr>
              <w:rPr>
                <w:rFonts w:eastAsia="MS PGothic"/>
                <w:sz w:val="20"/>
                <w:szCs w:val="20"/>
              </w:rPr>
            </w:pPr>
            <w:r w:rsidRPr="00C65F5E">
              <w:rPr>
                <w:b/>
                <w:bCs/>
                <w:sz w:val="20"/>
                <w:szCs w:val="20"/>
              </w:rPr>
              <w:t>Inicijator i vlasnik procesa:</w:t>
            </w:r>
            <w:r w:rsidRPr="00C65F5E">
              <w:rPr>
                <w:bCs/>
                <w:sz w:val="20"/>
                <w:szCs w:val="20"/>
              </w:rPr>
              <w:t xml:space="preserve"> Rukovodilac</w:t>
            </w:r>
            <w:r w:rsidRPr="00C65F5E">
              <w:rPr>
                <w:rFonts w:eastAsia="MS PGothic"/>
                <w:sz w:val="20"/>
                <w:szCs w:val="20"/>
              </w:rPr>
              <w:t xml:space="preserve"> JURA-e ili Koordinator RT-a </w:t>
            </w:r>
          </w:p>
          <w:p w:rsidR="00C65F5E" w:rsidRPr="00C65F5E" w:rsidRDefault="00C65F5E" w:rsidP="006E7CFD">
            <w:pPr>
              <w:rPr>
                <w:rFonts w:eastAsia="MS PGothic"/>
                <w:sz w:val="20"/>
                <w:szCs w:val="20"/>
              </w:rPr>
            </w:pPr>
            <w:r w:rsidRPr="00C65F5E">
              <w:rPr>
                <w:b/>
                <w:sz w:val="20"/>
                <w:szCs w:val="20"/>
              </w:rPr>
              <w:t xml:space="preserve">Nosioci i učesnici u procesu: </w:t>
            </w:r>
            <w:r w:rsidRPr="00C65F5E">
              <w:rPr>
                <w:sz w:val="20"/>
                <w:szCs w:val="20"/>
              </w:rPr>
              <w:t xml:space="preserve">Ostali službenici JURA-e/RT-a; </w:t>
            </w:r>
            <w:r w:rsidRPr="00C65F5E">
              <w:rPr>
                <w:rFonts w:eastAsia="MS PGothic"/>
                <w:sz w:val="20"/>
                <w:szCs w:val="20"/>
              </w:rPr>
              <w:t>Rukovodioci službi/odjeljenja</w:t>
            </w:r>
          </w:p>
        </w:tc>
      </w:tr>
      <w:tr w:rsidR="00C65F5E" w:rsidRPr="00C65F5E" w:rsidTr="006E7CFD">
        <w:trPr>
          <w:trHeight w:val="683"/>
        </w:trPr>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rsidR="00C65F5E" w:rsidRPr="00C65F5E" w:rsidRDefault="00C65F5E" w:rsidP="006E7CFD">
            <w:pPr>
              <w:rPr>
                <w:rFonts w:eastAsia="MS PGothic"/>
                <w:sz w:val="20"/>
                <w:szCs w:val="20"/>
              </w:rPr>
            </w:pPr>
            <w:r w:rsidRPr="00C65F5E">
              <w:rPr>
                <w:rFonts w:eastAsia="MS PGothic"/>
                <w:sz w:val="20"/>
                <w:szCs w:val="20"/>
              </w:rPr>
              <w:t>Priprema i razmatranje Godišnjeg izvještaja o radu JLS (za prethodnu godinu)</w:t>
            </w:r>
          </w:p>
        </w:tc>
        <w:tc>
          <w:tcPr>
            <w:tcW w:w="6480" w:type="dxa"/>
            <w:tcBorders>
              <w:top w:val="single" w:sz="4" w:space="0" w:color="auto"/>
              <w:left w:val="single" w:sz="4" w:space="0" w:color="auto"/>
              <w:bottom w:val="single" w:sz="4" w:space="0" w:color="auto"/>
              <w:right w:val="single" w:sz="4" w:space="0" w:color="auto"/>
            </w:tcBorders>
            <w:shd w:val="clear" w:color="auto" w:fill="FFFFFF" w:themeFill="background1"/>
          </w:tcPr>
          <w:p w:rsidR="00C65F5E" w:rsidRPr="00C65F5E" w:rsidRDefault="00C65F5E" w:rsidP="006E7CFD">
            <w:pPr>
              <w:rPr>
                <w:rFonts w:eastAsia="MS PGothic"/>
                <w:sz w:val="20"/>
                <w:szCs w:val="20"/>
              </w:rPr>
            </w:pPr>
            <w:r w:rsidRPr="00C65F5E">
              <w:rPr>
                <w:b/>
                <w:bCs/>
                <w:sz w:val="20"/>
                <w:szCs w:val="20"/>
              </w:rPr>
              <w:t>Inicijator i vlasnik procesa:</w:t>
            </w:r>
            <w:r w:rsidRPr="00C65F5E">
              <w:rPr>
                <w:bCs/>
                <w:sz w:val="20"/>
                <w:szCs w:val="20"/>
              </w:rPr>
              <w:t xml:space="preserve"> Rukovodilac</w:t>
            </w:r>
            <w:r w:rsidRPr="00C65F5E">
              <w:rPr>
                <w:rFonts w:eastAsia="MS PGothic"/>
                <w:sz w:val="20"/>
                <w:szCs w:val="20"/>
              </w:rPr>
              <w:t xml:space="preserve"> JURA-e ili Koordinator RT-a zajedno sa kabinetom grado/načelnika</w:t>
            </w:r>
          </w:p>
          <w:p w:rsidR="00C65F5E" w:rsidRPr="00C65F5E" w:rsidRDefault="00C65F5E" w:rsidP="006E7CFD">
            <w:pPr>
              <w:rPr>
                <w:rFonts w:eastAsia="MS PGothic"/>
                <w:sz w:val="20"/>
                <w:szCs w:val="20"/>
              </w:rPr>
            </w:pPr>
            <w:r w:rsidRPr="00C65F5E">
              <w:rPr>
                <w:rFonts w:eastAsia="MS PGothic"/>
                <w:b/>
                <w:sz w:val="20"/>
                <w:szCs w:val="20"/>
              </w:rPr>
              <w:t>Nosioci i učesnici procesa</w:t>
            </w:r>
            <w:r w:rsidRPr="00C65F5E">
              <w:rPr>
                <w:rFonts w:eastAsia="MS PGothic"/>
                <w:sz w:val="20"/>
                <w:szCs w:val="20"/>
              </w:rPr>
              <w:t>: Rukovodioci službi/odjeljenja; Kolegij načelnika JLS</w:t>
            </w:r>
          </w:p>
        </w:tc>
      </w:tr>
      <w:tr w:rsidR="00C65F5E" w:rsidRPr="00C65F5E" w:rsidTr="006E7CFD">
        <w:tc>
          <w:tcPr>
            <w:tcW w:w="450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65F5E" w:rsidRPr="00C65F5E" w:rsidRDefault="00C65F5E" w:rsidP="006E7CFD">
            <w:pPr>
              <w:rPr>
                <w:rFonts w:eastAsia="MS PGothic"/>
                <w:sz w:val="20"/>
                <w:szCs w:val="20"/>
              </w:rPr>
            </w:pPr>
            <w:r w:rsidRPr="00C65F5E">
              <w:rPr>
                <w:rFonts w:eastAsia="MS PGothic"/>
                <w:sz w:val="20"/>
                <w:szCs w:val="20"/>
              </w:rPr>
              <w:t xml:space="preserve">Usvajanje i objavljivanje Izvještaja o razvoju (za </w:t>
            </w:r>
            <w:r w:rsidRPr="00C65F5E">
              <w:rPr>
                <w:rFonts w:eastAsia="MS PGothic"/>
                <w:sz w:val="20"/>
                <w:szCs w:val="20"/>
              </w:rPr>
              <w:lastRenderedPageBreak/>
              <w:t>prethodnu godinu)</w:t>
            </w:r>
          </w:p>
        </w:tc>
        <w:tc>
          <w:tcPr>
            <w:tcW w:w="648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65F5E" w:rsidRPr="00C65F5E" w:rsidRDefault="00C65F5E" w:rsidP="006E7CFD">
            <w:pPr>
              <w:rPr>
                <w:rFonts w:eastAsia="MS PGothic"/>
                <w:sz w:val="20"/>
                <w:szCs w:val="20"/>
              </w:rPr>
            </w:pPr>
            <w:r w:rsidRPr="00C65F5E">
              <w:rPr>
                <w:rFonts w:eastAsia="MS PGothic"/>
                <w:b/>
                <w:sz w:val="20"/>
                <w:szCs w:val="20"/>
              </w:rPr>
              <w:lastRenderedPageBreak/>
              <w:t>Inicijator i vlasnik procesa</w:t>
            </w:r>
            <w:r w:rsidRPr="00C65F5E">
              <w:rPr>
                <w:rFonts w:eastAsia="MS PGothic"/>
                <w:sz w:val="20"/>
                <w:szCs w:val="20"/>
              </w:rPr>
              <w:t xml:space="preserve">: Načelnik JLS </w:t>
            </w:r>
          </w:p>
          <w:p w:rsidR="00C65F5E" w:rsidRPr="00C65F5E" w:rsidRDefault="00C65F5E" w:rsidP="006E7CFD">
            <w:pPr>
              <w:rPr>
                <w:rFonts w:eastAsia="MS PGothic"/>
                <w:b/>
                <w:sz w:val="20"/>
                <w:szCs w:val="20"/>
              </w:rPr>
            </w:pPr>
            <w:r w:rsidRPr="00C65F5E">
              <w:rPr>
                <w:rFonts w:eastAsia="MS PGothic"/>
                <w:b/>
                <w:sz w:val="20"/>
                <w:szCs w:val="20"/>
              </w:rPr>
              <w:lastRenderedPageBreak/>
              <w:t xml:space="preserve">Nosioci i učesnici procesa: </w:t>
            </w:r>
            <w:r w:rsidRPr="00C65F5E">
              <w:rPr>
                <w:rFonts w:eastAsia="MS PGothic"/>
                <w:sz w:val="20"/>
                <w:szCs w:val="20"/>
              </w:rPr>
              <w:t xml:space="preserve">Općinsko vijeće ili Skupština opštine </w:t>
            </w:r>
          </w:p>
        </w:tc>
      </w:tr>
      <w:tr w:rsidR="00C65F5E" w:rsidRPr="00C65F5E" w:rsidTr="006E7CFD">
        <w:tc>
          <w:tcPr>
            <w:tcW w:w="4500" w:type="dxa"/>
            <w:tcBorders>
              <w:top w:val="single" w:sz="4" w:space="0" w:color="auto"/>
              <w:left w:val="single" w:sz="4" w:space="0" w:color="auto"/>
              <w:bottom w:val="single" w:sz="4" w:space="0" w:color="auto"/>
              <w:right w:val="single" w:sz="4" w:space="0" w:color="auto"/>
            </w:tcBorders>
            <w:shd w:val="clear" w:color="auto" w:fill="FFFFFF"/>
          </w:tcPr>
          <w:p w:rsidR="00C65F5E" w:rsidRPr="00C65F5E" w:rsidRDefault="00C65F5E" w:rsidP="006E7CFD">
            <w:pPr>
              <w:rPr>
                <w:rFonts w:eastAsia="MS PGothic"/>
                <w:sz w:val="20"/>
                <w:szCs w:val="20"/>
              </w:rPr>
            </w:pPr>
            <w:r w:rsidRPr="00C65F5E">
              <w:rPr>
                <w:rFonts w:eastAsia="MS PGothic"/>
                <w:sz w:val="20"/>
                <w:szCs w:val="20"/>
              </w:rPr>
              <w:lastRenderedPageBreak/>
              <w:t>Usvajanje i objavljivanje Godišnjeg izvještaja o radu JLS (za prethodnu godinu)</w:t>
            </w:r>
          </w:p>
        </w:tc>
        <w:tc>
          <w:tcPr>
            <w:tcW w:w="6480" w:type="dxa"/>
            <w:tcBorders>
              <w:top w:val="single" w:sz="4" w:space="0" w:color="auto"/>
              <w:left w:val="single" w:sz="4" w:space="0" w:color="auto"/>
              <w:bottom w:val="single" w:sz="4" w:space="0" w:color="auto"/>
              <w:right w:val="single" w:sz="4" w:space="0" w:color="auto"/>
            </w:tcBorders>
            <w:shd w:val="clear" w:color="auto" w:fill="FFFFFF"/>
          </w:tcPr>
          <w:p w:rsidR="00C65F5E" w:rsidRPr="00C65F5E" w:rsidRDefault="00C65F5E" w:rsidP="006E7CFD">
            <w:pPr>
              <w:rPr>
                <w:rFonts w:eastAsia="MS PGothic"/>
                <w:sz w:val="20"/>
                <w:szCs w:val="20"/>
              </w:rPr>
            </w:pPr>
            <w:r w:rsidRPr="00C65F5E">
              <w:rPr>
                <w:rFonts w:eastAsia="MS PGothic"/>
                <w:b/>
                <w:sz w:val="20"/>
                <w:szCs w:val="20"/>
              </w:rPr>
              <w:t>Inicijator i vlasnik procesa</w:t>
            </w:r>
            <w:r w:rsidRPr="00C65F5E">
              <w:rPr>
                <w:rFonts w:eastAsia="MS PGothic"/>
                <w:sz w:val="20"/>
                <w:szCs w:val="20"/>
              </w:rPr>
              <w:t xml:space="preserve">: Načelnik JLS </w:t>
            </w:r>
          </w:p>
          <w:p w:rsidR="00C65F5E" w:rsidRPr="00C65F5E" w:rsidRDefault="00C65F5E" w:rsidP="006E7CFD">
            <w:pPr>
              <w:rPr>
                <w:rFonts w:eastAsia="MS PGothic"/>
                <w:sz w:val="20"/>
                <w:szCs w:val="20"/>
              </w:rPr>
            </w:pPr>
            <w:r w:rsidRPr="00C65F5E">
              <w:rPr>
                <w:rFonts w:eastAsia="MS PGothic"/>
                <w:b/>
                <w:sz w:val="20"/>
                <w:szCs w:val="20"/>
              </w:rPr>
              <w:t xml:space="preserve">Nosioci i učesnici procesa: </w:t>
            </w:r>
            <w:r w:rsidRPr="00C65F5E">
              <w:rPr>
                <w:rFonts w:eastAsia="MS PGothic"/>
                <w:sz w:val="20"/>
                <w:szCs w:val="20"/>
              </w:rPr>
              <w:t>Općinsko vijeće ili Skupština opštine</w:t>
            </w:r>
          </w:p>
        </w:tc>
      </w:tr>
      <w:tr w:rsidR="00C65F5E" w:rsidRPr="00C65F5E" w:rsidTr="006E7CFD">
        <w:tc>
          <w:tcPr>
            <w:tcW w:w="4500" w:type="dxa"/>
            <w:tcBorders>
              <w:top w:val="single" w:sz="4" w:space="0" w:color="auto"/>
              <w:left w:val="single" w:sz="4" w:space="0" w:color="auto"/>
              <w:bottom w:val="single" w:sz="4" w:space="0" w:color="auto"/>
              <w:right w:val="single" w:sz="4" w:space="0" w:color="auto"/>
            </w:tcBorders>
            <w:shd w:val="clear" w:color="auto" w:fill="DEEAF6"/>
          </w:tcPr>
          <w:p w:rsidR="00C65F5E" w:rsidRPr="00C65F5E" w:rsidRDefault="00C65F5E" w:rsidP="006E7CFD">
            <w:pPr>
              <w:spacing w:before="60"/>
              <w:rPr>
                <w:rFonts w:eastAsia="MS PGothic"/>
                <w:sz w:val="20"/>
                <w:szCs w:val="20"/>
              </w:rPr>
            </w:pPr>
            <w:r w:rsidRPr="00C65F5E">
              <w:rPr>
                <w:rFonts w:eastAsia="MS PGothic"/>
                <w:sz w:val="20"/>
                <w:szCs w:val="20"/>
              </w:rPr>
              <w:t>Ostale važne aktivnosti:</w:t>
            </w:r>
          </w:p>
          <w:p w:rsidR="00C65F5E" w:rsidRPr="00C65F5E" w:rsidRDefault="00C65F5E" w:rsidP="00C65F5E">
            <w:pPr>
              <w:pStyle w:val="ListParagraph"/>
              <w:widowControl w:val="0"/>
              <w:numPr>
                <w:ilvl w:val="0"/>
                <w:numId w:val="7"/>
              </w:numPr>
              <w:overflowPunct w:val="0"/>
              <w:adjustRightInd w:val="0"/>
              <w:spacing w:before="60"/>
              <w:ind w:left="144" w:hanging="144"/>
              <w:jc w:val="left"/>
              <w:rPr>
                <w:rFonts w:eastAsia="MS PGothic"/>
                <w:sz w:val="20"/>
                <w:szCs w:val="20"/>
              </w:rPr>
            </w:pPr>
            <w:r w:rsidRPr="00C65F5E">
              <w:rPr>
                <w:rFonts w:eastAsia="MS PGothic"/>
                <w:sz w:val="20"/>
                <w:szCs w:val="20"/>
              </w:rPr>
              <w:t>Redovno ažuriranje web stranice JLS u domenu informacija koje se odnose na razvojne aktivnosti</w:t>
            </w:r>
          </w:p>
          <w:p w:rsidR="00C65F5E" w:rsidRPr="00C65F5E" w:rsidRDefault="00C65F5E" w:rsidP="00C65F5E">
            <w:pPr>
              <w:pStyle w:val="ListParagraph"/>
              <w:widowControl w:val="0"/>
              <w:numPr>
                <w:ilvl w:val="0"/>
                <w:numId w:val="7"/>
              </w:numPr>
              <w:overflowPunct w:val="0"/>
              <w:adjustRightInd w:val="0"/>
              <w:spacing w:before="60"/>
              <w:ind w:left="144" w:hanging="144"/>
              <w:jc w:val="left"/>
              <w:rPr>
                <w:rFonts w:eastAsia="MS PGothic"/>
                <w:sz w:val="20"/>
                <w:szCs w:val="20"/>
              </w:rPr>
            </w:pPr>
            <w:r w:rsidRPr="00C65F5E">
              <w:rPr>
                <w:rFonts w:eastAsia="MS PGothic"/>
                <w:sz w:val="20"/>
                <w:szCs w:val="20"/>
              </w:rPr>
              <w:t>Redovni kontakti sa višim nivoima vlasti</w:t>
            </w:r>
          </w:p>
          <w:p w:rsidR="00C65F5E" w:rsidRPr="00C65F5E" w:rsidRDefault="00C65F5E" w:rsidP="00C65F5E">
            <w:pPr>
              <w:pStyle w:val="ListParagraph"/>
              <w:widowControl w:val="0"/>
              <w:numPr>
                <w:ilvl w:val="0"/>
                <w:numId w:val="7"/>
              </w:numPr>
              <w:overflowPunct w:val="0"/>
              <w:adjustRightInd w:val="0"/>
              <w:spacing w:before="60"/>
              <w:ind w:left="144" w:hanging="144"/>
              <w:jc w:val="left"/>
              <w:rPr>
                <w:rFonts w:eastAsia="MS PGothic"/>
                <w:sz w:val="20"/>
                <w:szCs w:val="20"/>
              </w:rPr>
            </w:pPr>
            <w:r w:rsidRPr="00C65F5E">
              <w:rPr>
                <w:rFonts w:eastAsia="MS PGothic"/>
                <w:sz w:val="20"/>
                <w:szCs w:val="20"/>
              </w:rPr>
              <w:t>Uspostavljanje i unaprijeđenje međuopćinske/međuopštinske saradnje</w:t>
            </w:r>
          </w:p>
          <w:p w:rsidR="00C65F5E" w:rsidRPr="00C65F5E" w:rsidRDefault="00C65F5E" w:rsidP="00C65F5E">
            <w:pPr>
              <w:pStyle w:val="ListParagraph"/>
              <w:widowControl w:val="0"/>
              <w:numPr>
                <w:ilvl w:val="0"/>
                <w:numId w:val="7"/>
              </w:numPr>
              <w:overflowPunct w:val="0"/>
              <w:adjustRightInd w:val="0"/>
              <w:spacing w:before="60"/>
              <w:ind w:left="144" w:hanging="144"/>
              <w:jc w:val="left"/>
              <w:rPr>
                <w:rFonts w:eastAsia="MS PGothic"/>
                <w:sz w:val="20"/>
                <w:szCs w:val="20"/>
              </w:rPr>
            </w:pPr>
            <w:r w:rsidRPr="00C65F5E">
              <w:rPr>
                <w:rFonts w:eastAsia="MS PGothic"/>
                <w:sz w:val="20"/>
                <w:szCs w:val="20"/>
              </w:rPr>
              <w:t>Pokretanje procesa finalne evaluacije strategije razvoja</w:t>
            </w:r>
          </w:p>
        </w:tc>
        <w:tc>
          <w:tcPr>
            <w:tcW w:w="6480" w:type="dxa"/>
            <w:tcBorders>
              <w:top w:val="single" w:sz="4" w:space="0" w:color="auto"/>
              <w:left w:val="single" w:sz="4" w:space="0" w:color="auto"/>
              <w:bottom w:val="single" w:sz="4" w:space="0" w:color="auto"/>
              <w:right w:val="single" w:sz="4" w:space="0" w:color="auto"/>
            </w:tcBorders>
            <w:shd w:val="clear" w:color="auto" w:fill="DEEAF6"/>
          </w:tcPr>
          <w:p w:rsidR="00C65F5E" w:rsidRPr="00C65F5E" w:rsidRDefault="00C65F5E" w:rsidP="006E7CFD">
            <w:pPr>
              <w:rPr>
                <w:rFonts w:eastAsia="MS PGothic"/>
                <w:sz w:val="20"/>
                <w:szCs w:val="20"/>
              </w:rPr>
            </w:pPr>
            <w:r w:rsidRPr="00C65F5E">
              <w:rPr>
                <w:b/>
                <w:bCs/>
                <w:sz w:val="20"/>
                <w:szCs w:val="20"/>
              </w:rPr>
              <w:t>Inicijator i vlasnik procesa:</w:t>
            </w:r>
            <w:r w:rsidRPr="00C65F5E">
              <w:rPr>
                <w:bCs/>
                <w:sz w:val="20"/>
                <w:szCs w:val="20"/>
              </w:rPr>
              <w:t xml:space="preserve"> Rukovodilac</w:t>
            </w:r>
            <w:r w:rsidRPr="00C65F5E">
              <w:rPr>
                <w:rFonts w:eastAsia="MS PGothic"/>
                <w:sz w:val="20"/>
                <w:szCs w:val="20"/>
              </w:rPr>
              <w:t xml:space="preserve"> JURA-e ili Koordinator RT-a</w:t>
            </w:r>
          </w:p>
          <w:p w:rsidR="00C65F5E" w:rsidRPr="00C65F5E" w:rsidRDefault="00C65F5E" w:rsidP="006E7CFD">
            <w:pPr>
              <w:rPr>
                <w:rFonts w:eastAsia="MS PGothic"/>
                <w:sz w:val="20"/>
                <w:szCs w:val="20"/>
              </w:rPr>
            </w:pPr>
            <w:r w:rsidRPr="00C65F5E">
              <w:rPr>
                <w:b/>
                <w:sz w:val="20"/>
                <w:szCs w:val="20"/>
              </w:rPr>
              <w:t xml:space="preserve">Nosioci i učesnici: </w:t>
            </w:r>
            <w:r w:rsidRPr="00C65F5E">
              <w:rPr>
                <w:sz w:val="20"/>
                <w:szCs w:val="20"/>
              </w:rPr>
              <w:t>Ostali službenici JURA-e/RT-a</w:t>
            </w:r>
          </w:p>
        </w:tc>
      </w:tr>
    </w:tbl>
    <w:p w:rsidR="00C65F5E" w:rsidRPr="00707FE7" w:rsidRDefault="00C65F5E" w:rsidP="00C65F5E">
      <w:pPr>
        <w:ind w:left="-540"/>
        <w:rPr>
          <w:bCs/>
          <w:sz w:val="16"/>
        </w:rPr>
      </w:pPr>
      <w:r w:rsidRPr="00707FE7">
        <w:rPr>
          <w:bCs/>
          <w:sz w:val="16"/>
        </w:rPr>
        <w:t>Napomene:</w:t>
      </w:r>
    </w:p>
    <w:p w:rsidR="00C65F5E" w:rsidRPr="00707FE7" w:rsidRDefault="00C65F5E" w:rsidP="00C65F5E">
      <w:pPr>
        <w:ind w:left="-540"/>
        <w:rPr>
          <w:bCs/>
          <w:sz w:val="16"/>
        </w:rPr>
      </w:pPr>
      <w:r w:rsidRPr="00707FE7">
        <w:rPr>
          <w:bCs/>
          <w:sz w:val="16"/>
        </w:rPr>
        <w:t>(*) Predviđene aktivnosti se odnose na godišnji ciklus planiranja, praćenja, vrednovanja i izvještavanja i za svaki naredni ciklus se ponavljaju. Aktivnosti su u skladu sa Zakonom o razvojnom planiranju i upravljanju razvojem u FBiH koji je stupio na snagu u mjesecu maju 2017. godine.  Rokovi za izvršenje predviđenih aktivnosti se preuzimaju  iz provedbenih uredbi Zakona o razvojnom planiranju i upravljanju razvojem u FBiH i Zakona o budžetima Federacije Bosne i Hercegovine, kao i internog regulatornog okvira JLS.  Partnerska grupa se uključuje minimalno jednom godišnje u praćenje provođenja startegije lokalnog razvoja.</w:t>
      </w:r>
    </w:p>
    <w:p w:rsidR="00881DF1" w:rsidRPr="00707FE7" w:rsidRDefault="00C65F5E" w:rsidP="00C65F5E">
      <w:pPr>
        <w:ind w:left="-540"/>
      </w:pPr>
      <w:r w:rsidRPr="00707FE7">
        <w:rPr>
          <w:bCs/>
          <w:sz w:val="16"/>
        </w:rPr>
        <w:t xml:space="preserve">(**) JURA je jedinica za upravljanje razvojem. </w:t>
      </w:r>
      <w:r w:rsidR="00707FE7" w:rsidRPr="00707FE7">
        <w:rPr>
          <w:bCs/>
          <w:sz w:val="16"/>
        </w:rPr>
        <w:t>Do uspostave Odsjeka za investicije i upravljanjem razvojem u okviru Stručne službe općinskog načelnika</w:t>
      </w:r>
      <w:r w:rsidRPr="00707FE7">
        <w:rPr>
          <w:bCs/>
          <w:sz w:val="16"/>
        </w:rPr>
        <w:t>, ulogu preuzima Razvojni tim (RT).</w:t>
      </w:r>
    </w:p>
    <w:p w:rsidR="00753D41" w:rsidRDefault="00753D41" w:rsidP="00AD59CB">
      <w:r>
        <w:br w:type="page"/>
      </w:r>
    </w:p>
    <w:p w:rsidR="00753D41" w:rsidRDefault="00753D41" w:rsidP="00AD59CB">
      <w:pPr>
        <w:sectPr w:rsidR="00753D41" w:rsidSect="004F41F6">
          <w:pgSz w:w="12240" w:h="15840"/>
          <w:pgMar w:top="1440" w:right="1008" w:bottom="1267" w:left="1008" w:header="720" w:footer="720" w:gutter="0"/>
          <w:cols w:space="720"/>
          <w:docGrid w:linePitch="360"/>
        </w:sectPr>
      </w:pPr>
    </w:p>
    <w:p w:rsidR="006D7B19" w:rsidRDefault="00881DF1" w:rsidP="00AD59CB">
      <w:pPr>
        <w:pStyle w:val="Heading1"/>
      </w:pPr>
      <w:bookmarkStart w:id="146" w:name="_Toc491379791"/>
      <w:bookmarkStart w:id="147" w:name="_Toc500140066"/>
      <w:r w:rsidRPr="00881DF1">
        <w:lastRenderedPageBreak/>
        <w:t>VII. Prilozi</w:t>
      </w:r>
      <w:bookmarkEnd w:id="146"/>
      <w:bookmarkEnd w:id="147"/>
      <w:r w:rsidR="006D7B19">
        <w:t xml:space="preserve"> </w:t>
      </w:r>
    </w:p>
    <w:p w:rsidR="00AB5AD0" w:rsidRDefault="00AB5AD0" w:rsidP="00AB5AD0">
      <w:r>
        <w:t>Svi prilozi su sastavni dio Strategije razvoja, a nalaze se u posebnim dokumentima.</w:t>
      </w:r>
    </w:p>
    <w:p w:rsidR="00AB5AD0" w:rsidRDefault="00AB5AD0" w:rsidP="00AB5AD0"/>
    <w:p w:rsidR="00AB5AD0" w:rsidRDefault="00AB5AD0" w:rsidP="00AB5AD0">
      <w:pPr>
        <w:pStyle w:val="Heading2"/>
      </w:pPr>
      <w:bookmarkStart w:id="148" w:name="_Toc491379792"/>
      <w:bookmarkStart w:id="149" w:name="_Toc500140067"/>
      <w:r>
        <w:t>Prilog 1: Integrirani pregled Strategije razvoja za period 2018.-2022.</w:t>
      </w:r>
      <w:bookmarkEnd w:id="148"/>
      <w:bookmarkEnd w:id="149"/>
    </w:p>
    <w:p w:rsidR="00AB5AD0" w:rsidRDefault="00AB5AD0" w:rsidP="00AB5AD0"/>
    <w:p w:rsidR="00AB5AD0" w:rsidRDefault="00AB5AD0" w:rsidP="00AB5AD0">
      <w:pPr>
        <w:pStyle w:val="Heading2"/>
      </w:pPr>
      <w:bookmarkStart w:id="150" w:name="_Toc453621672"/>
      <w:bookmarkStart w:id="151" w:name="_Toc491379793"/>
      <w:bookmarkStart w:id="152" w:name="_Toc461794429"/>
      <w:bookmarkStart w:id="153" w:name="_Toc500140068"/>
      <w:bookmarkStart w:id="154" w:name="_Hlk499413307"/>
      <w:r>
        <w:t>Prilog 2: Таbеlе vаriјаbli zа prаćеnjе indikаtоrа</w:t>
      </w:r>
      <w:bookmarkEnd w:id="150"/>
      <w:r>
        <w:t xml:space="preserve"> Strategije razvoja 2018.-2022.</w:t>
      </w:r>
      <w:bookmarkEnd w:id="151"/>
      <w:bookmarkEnd w:id="152"/>
      <w:bookmarkEnd w:id="153"/>
    </w:p>
    <w:bookmarkEnd w:id="154"/>
    <w:p w:rsidR="00AB5AD0" w:rsidRDefault="00AB5AD0" w:rsidP="00AB5AD0"/>
    <w:p w:rsidR="00AB5AD0" w:rsidRDefault="00AB5AD0" w:rsidP="00AB5AD0">
      <w:pPr>
        <w:pStyle w:val="Heading2"/>
      </w:pPr>
      <w:bookmarkStart w:id="155" w:name="_Toc491379794"/>
      <w:bookmarkStart w:id="156" w:name="_Toc461794430"/>
      <w:bookmarkStart w:id="157" w:name="_Toc453621673"/>
      <w:bookmarkStart w:id="158" w:name="_Toc500140069"/>
      <w:r>
        <w:t xml:space="preserve">Prilog 3: Prоcјеnа finansiranja </w:t>
      </w:r>
      <w:r w:rsidR="00A80460">
        <w:t>S</w:t>
      </w:r>
      <w:r>
        <w:t xml:space="preserve">trategije </w:t>
      </w:r>
      <w:r w:rsidR="00A80460">
        <w:t>razvoja</w:t>
      </w:r>
      <w:r>
        <w:t xml:space="preserve"> 2018.-20</w:t>
      </w:r>
      <w:bookmarkEnd w:id="155"/>
      <w:bookmarkEnd w:id="156"/>
      <w:bookmarkEnd w:id="157"/>
      <w:r>
        <w:t>22.</w:t>
      </w:r>
      <w:bookmarkEnd w:id="158"/>
    </w:p>
    <w:p w:rsidR="00AB5AD0" w:rsidRDefault="00AB5AD0" w:rsidP="00AB5AD0"/>
    <w:p w:rsidR="00AB5AD0" w:rsidRDefault="00AB5AD0" w:rsidP="00AB5AD0">
      <w:pPr>
        <w:pStyle w:val="Heading2"/>
      </w:pPr>
      <w:bookmarkStart w:id="159" w:name="_Toc491379795"/>
      <w:bookmarkStart w:id="160" w:name="_Toc500140070"/>
      <w:r>
        <w:t>Prilog 4: Plan implementacije strateških projekata i mjera za 3 godine (1+2) u excelu</w:t>
      </w:r>
      <w:bookmarkEnd w:id="159"/>
      <w:bookmarkEnd w:id="160"/>
    </w:p>
    <w:p w:rsidR="00AB5AD0" w:rsidRDefault="00AB5AD0" w:rsidP="00AB5AD0"/>
    <w:p w:rsidR="00AB5AD0" w:rsidRDefault="00AB5AD0" w:rsidP="00AB5AD0">
      <w:pPr>
        <w:pStyle w:val="Heading2"/>
      </w:pPr>
      <w:bookmarkStart w:id="161" w:name="_Toc491379796"/>
      <w:bookmarkStart w:id="162" w:name="_Toc500140071"/>
      <w:r>
        <w:t>Prilog 5: Projektne fiše</w:t>
      </w:r>
      <w:bookmarkEnd w:id="161"/>
      <w:bookmarkEnd w:id="162"/>
    </w:p>
    <w:p w:rsidR="00AB5AD0" w:rsidRDefault="00AB5AD0" w:rsidP="00AB5AD0"/>
    <w:p w:rsidR="00881DF1" w:rsidRPr="006D7B19" w:rsidRDefault="00881DF1" w:rsidP="00AB5AD0"/>
    <w:sectPr w:rsidR="00881DF1" w:rsidRPr="006D7B19" w:rsidSect="00A71D2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24D" w:rsidRDefault="008E424D" w:rsidP="001F3520">
      <w:r>
        <w:separator/>
      </w:r>
    </w:p>
    <w:p w:rsidR="008E424D" w:rsidRDefault="008E424D"/>
  </w:endnote>
  <w:endnote w:type="continuationSeparator" w:id="0">
    <w:p w:rsidR="008E424D" w:rsidRDefault="008E424D" w:rsidP="001F3520">
      <w:r>
        <w:continuationSeparator/>
      </w:r>
    </w:p>
    <w:p w:rsidR="008E424D" w:rsidRDefault="008E42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Calibri">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EE"/>
    <w:family w:val="roman"/>
    <w:pitch w:val="variable"/>
    <w:sig w:usb0="00000007" w:usb1="00000000" w:usb2="00000000" w:usb3="00000000" w:csb0="00000093" w:csb1="00000000"/>
  </w:font>
  <w:font w:name="Arial">
    <w:panose1 w:val="020B0604020202020204"/>
    <w:charset w:val="EE"/>
    <w:family w:val="swiss"/>
    <w:pitch w:val="variable"/>
    <w:sig w:usb0="E0002EFF" w:usb1="C0007843" w:usb2="00000009" w:usb3="00000000" w:csb0="000001FF" w:csb1="00000000"/>
  </w:font>
  <w:font w:name="TimesNewRomanPSMT">
    <w:altName w:val="Times New Roman"/>
    <w:charset w:val="EE"/>
    <w:family w:val="auto"/>
    <w:pitch w:val="variable"/>
  </w:font>
  <w:font w:name="Calibri-Bold">
    <w:charset w:val="00"/>
    <w:family w:val="auto"/>
    <w:pitch w:val="default"/>
  </w:font>
  <w:font w:name="TimesNewRoman">
    <w:altName w:val="Times New Roman"/>
    <w:charset w:val="00"/>
    <w:family w:val="roman"/>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286575"/>
      <w:docPartObj>
        <w:docPartGallery w:val="Page Numbers (Bottom of Page)"/>
        <w:docPartUnique/>
      </w:docPartObj>
    </w:sdtPr>
    <w:sdtEndPr>
      <w:rPr>
        <w:noProof/>
      </w:rPr>
    </w:sdtEndPr>
    <w:sdtContent>
      <w:p w:rsidR="001E6FD0" w:rsidRDefault="008E424D">
        <w:pPr>
          <w:pStyle w:val="Footer"/>
          <w:jc w:val="center"/>
        </w:pPr>
      </w:p>
    </w:sdtContent>
  </w:sdt>
  <w:p w:rsidR="001E6FD0" w:rsidRDefault="001E6FD0" w:rsidP="001F35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FD0" w:rsidRDefault="001E6FD0">
    <w:pPr>
      <w:pStyle w:val="Footer"/>
      <w:jc w:val="center"/>
    </w:pPr>
  </w:p>
  <w:p w:rsidR="001E6FD0" w:rsidRDefault="001E6FD0" w:rsidP="004E2EB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FD0" w:rsidRDefault="001E6FD0" w:rsidP="001F3520">
    <w:pPr>
      <w:pStyle w:val="Footer"/>
    </w:pPr>
    <w:r>
      <w:fldChar w:fldCharType="begin"/>
    </w:r>
    <w:r>
      <w:instrText xml:space="preserve"> PAGE   \* MERGEFORMAT </w:instrText>
    </w:r>
    <w:r>
      <w:fldChar w:fldCharType="separate"/>
    </w:r>
    <w:r w:rsidR="00D63B58">
      <w:rPr>
        <w:noProof/>
      </w:rPr>
      <w:t>85</w:t>
    </w:r>
    <w:r>
      <w:rPr>
        <w:noProof/>
      </w:rPr>
      <w:fldChar w:fldCharType="end"/>
    </w:r>
  </w:p>
  <w:p w:rsidR="001E6FD0" w:rsidRDefault="001E6FD0" w:rsidP="001F35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24D" w:rsidRDefault="008E424D" w:rsidP="001F3520">
      <w:r>
        <w:separator/>
      </w:r>
    </w:p>
    <w:p w:rsidR="008E424D" w:rsidRDefault="008E424D"/>
  </w:footnote>
  <w:footnote w:type="continuationSeparator" w:id="0">
    <w:p w:rsidR="008E424D" w:rsidRDefault="008E424D" w:rsidP="001F3520">
      <w:r>
        <w:continuationSeparator/>
      </w:r>
    </w:p>
    <w:p w:rsidR="008E424D" w:rsidRDefault="008E424D"/>
  </w:footnote>
  <w:footnote w:id="1">
    <w:p w:rsidR="001E6FD0" w:rsidRPr="006834AF" w:rsidRDefault="001E6FD0" w:rsidP="00312E7A">
      <w:pPr>
        <w:pStyle w:val="FootnoteText"/>
        <w:rPr>
          <w:sz w:val="18"/>
          <w:szCs w:val="18"/>
          <w:lang w:val="hr-HR"/>
        </w:rPr>
      </w:pPr>
      <w:r w:rsidRPr="006834AF">
        <w:rPr>
          <w:rStyle w:val="FootnoteReference"/>
          <w:sz w:val="18"/>
          <w:szCs w:val="18"/>
        </w:rPr>
        <w:footnoteRef/>
      </w:r>
      <w:r w:rsidRPr="006834AF">
        <w:rPr>
          <w:sz w:val="18"/>
          <w:szCs w:val="18"/>
          <w:lang w:val="hr-HR"/>
        </w:rPr>
        <w:t xml:space="preserve"> Tuzlanski kanton zauzima površinu od 2.649 km² (10,1% teritorije FBiH ili 5,17% teritorije BiH). </w:t>
      </w:r>
      <w:r w:rsidRPr="006834AF">
        <w:rPr>
          <w:sz w:val="18"/>
          <w:szCs w:val="18"/>
        </w:rPr>
        <w:t>Prema posljednjem popisu stanovništva iz 2013. godine</w:t>
      </w:r>
      <w:r w:rsidRPr="006834AF">
        <w:rPr>
          <w:sz w:val="18"/>
          <w:szCs w:val="18"/>
          <w:lang w:val="hr-HR"/>
        </w:rPr>
        <w:t>, na području kantona živi 443.053 stanovnika. Kanton se sastoji od 13 općina (Banovići, Čelić, Doboj-Istok, Gračanica, Gradačac, Kalesija, Kladanj, Lukavac, Sapna, Srebrenik, Teočak, Tuzla, Živinice), a njegovo sjedište je u Tuzli.</w:t>
      </w:r>
    </w:p>
  </w:footnote>
  <w:footnote w:id="2">
    <w:p w:rsidR="001E6FD0" w:rsidRPr="006834AF" w:rsidRDefault="001E6FD0" w:rsidP="00312E7A">
      <w:pPr>
        <w:pStyle w:val="FootnoteText"/>
        <w:rPr>
          <w:sz w:val="18"/>
          <w:szCs w:val="18"/>
          <w:lang w:val="hr-HR"/>
        </w:rPr>
      </w:pPr>
      <w:r w:rsidRPr="006834AF">
        <w:rPr>
          <w:rStyle w:val="FootnoteReference"/>
          <w:sz w:val="18"/>
          <w:szCs w:val="18"/>
        </w:rPr>
        <w:footnoteRef/>
      </w:r>
      <w:r w:rsidRPr="006834AF">
        <w:rPr>
          <w:sz w:val="18"/>
          <w:szCs w:val="18"/>
          <w:lang w:val="hr-HR"/>
        </w:rPr>
        <w:t xml:space="preserve"> Općina je prije rata zauzimala površinu od 272 km², a potpisivanjem Dejtonskog mirovnog sporazuma njena površina je smanjena za 71 km², odnosno 15 prijeratnih kalesijskih naselja je pripalo Republici Srpskoj.</w:t>
      </w:r>
    </w:p>
  </w:footnote>
  <w:footnote w:id="3">
    <w:p w:rsidR="001E6FD0" w:rsidRPr="006834AF" w:rsidRDefault="001E6FD0" w:rsidP="00AD1E1A">
      <w:pPr>
        <w:pStyle w:val="FootnoteText"/>
        <w:rPr>
          <w:sz w:val="18"/>
          <w:szCs w:val="18"/>
          <w:lang w:val="hr-HR"/>
        </w:rPr>
      </w:pPr>
      <w:r w:rsidRPr="006834AF">
        <w:rPr>
          <w:rStyle w:val="FootnoteReference"/>
          <w:sz w:val="18"/>
          <w:szCs w:val="18"/>
        </w:rPr>
        <w:footnoteRef/>
      </w:r>
      <w:r w:rsidRPr="006834AF">
        <w:rPr>
          <w:sz w:val="18"/>
          <w:szCs w:val="18"/>
          <w:lang w:val="hr-HR"/>
        </w:rPr>
        <w:t>Prosječna stopa prirodnog priraštaja u FBiH za posljednje tri godine je iznosila 1,64 promila (Stope prirodnog kretanja stanovništva, Zavod za statistiku FBiH).</w:t>
      </w:r>
    </w:p>
  </w:footnote>
  <w:footnote w:id="4">
    <w:p w:rsidR="001E6FD0" w:rsidRPr="006834AF" w:rsidRDefault="001E6FD0" w:rsidP="00FE7D8A">
      <w:pPr>
        <w:pStyle w:val="FootnoteText"/>
        <w:rPr>
          <w:sz w:val="18"/>
          <w:szCs w:val="18"/>
        </w:rPr>
      </w:pPr>
      <w:r w:rsidRPr="006834AF">
        <w:rPr>
          <w:rStyle w:val="FootnoteCharacters"/>
          <w:sz w:val="18"/>
          <w:szCs w:val="18"/>
        </w:rPr>
        <w:footnoteRef/>
      </w:r>
      <w:r w:rsidRPr="006834AF">
        <w:rPr>
          <w:sz w:val="18"/>
          <w:szCs w:val="18"/>
          <w:lang w:val="hr-HR"/>
        </w:rPr>
        <w:t xml:space="preserve"> Indeks socioekonomskog razvoja lokalnih zajednica FBiH, Federalni zavod za programiranje razvoja, 2015.</w:t>
      </w:r>
    </w:p>
  </w:footnote>
  <w:footnote w:id="5">
    <w:p w:rsidR="001E6FD0" w:rsidRPr="006834AF" w:rsidRDefault="001E6FD0">
      <w:pPr>
        <w:pStyle w:val="FootnoteText"/>
        <w:rPr>
          <w:sz w:val="18"/>
          <w:szCs w:val="18"/>
        </w:rPr>
      </w:pPr>
      <w:r w:rsidRPr="006834AF">
        <w:rPr>
          <w:rStyle w:val="FootnoteReference"/>
          <w:sz w:val="18"/>
          <w:szCs w:val="18"/>
        </w:rPr>
        <w:footnoteRef/>
      </w:r>
      <w:r w:rsidRPr="006834AF">
        <w:rPr>
          <w:sz w:val="18"/>
          <w:szCs w:val="18"/>
        </w:rPr>
        <w:t xml:space="preserve"> Nerazvijenim općinama smatraju se općine s indeksom razvijenosti koji ima vrijednosti između 50 i 75, a izrazito nerazvijene općine smatraju se općine sa indeksom razvijenosti ispod 50.</w:t>
      </w:r>
    </w:p>
  </w:footnote>
  <w:footnote w:id="6">
    <w:p w:rsidR="001E6FD0" w:rsidRPr="006834AF" w:rsidRDefault="001E6FD0" w:rsidP="00B66355">
      <w:pPr>
        <w:pStyle w:val="FootnoteText"/>
        <w:rPr>
          <w:sz w:val="18"/>
          <w:szCs w:val="18"/>
        </w:rPr>
      </w:pPr>
      <w:r w:rsidRPr="006834AF">
        <w:rPr>
          <w:rStyle w:val="FootnoteReference"/>
          <w:sz w:val="18"/>
          <w:szCs w:val="18"/>
        </w:rPr>
        <w:footnoteRef/>
      </w:r>
      <w:r w:rsidRPr="006834AF">
        <w:rPr>
          <w:sz w:val="18"/>
          <w:szCs w:val="18"/>
        </w:rPr>
        <w:t xml:space="preserve"> Podaci iz općinske uprave Kalesija</w:t>
      </w:r>
      <w:r>
        <w:rPr>
          <w:sz w:val="18"/>
          <w:szCs w:val="18"/>
        </w:rPr>
        <w:t xml:space="preserve">. </w:t>
      </w:r>
      <w:r w:rsidRPr="003A5DCE">
        <w:rPr>
          <w:sz w:val="18"/>
          <w:szCs w:val="18"/>
        </w:rPr>
        <w:t xml:space="preserve">Nakon 2015 </w:t>
      </w:r>
      <w:r>
        <w:rPr>
          <w:sz w:val="18"/>
          <w:szCs w:val="18"/>
        </w:rPr>
        <w:t>Federalni z</w:t>
      </w:r>
      <w:r w:rsidRPr="003A5DCE">
        <w:rPr>
          <w:sz w:val="18"/>
          <w:szCs w:val="18"/>
        </w:rPr>
        <w:t>avod</w:t>
      </w:r>
      <w:r>
        <w:rPr>
          <w:sz w:val="18"/>
          <w:szCs w:val="18"/>
        </w:rPr>
        <w:t xml:space="preserve"> za programiranje razvoja ne vrš</w:t>
      </w:r>
      <w:r w:rsidRPr="003A5DCE">
        <w:rPr>
          <w:sz w:val="18"/>
          <w:szCs w:val="18"/>
        </w:rPr>
        <w:t>i izra</w:t>
      </w:r>
      <w:r>
        <w:rPr>
          <w:sz w:val="18"/>
          <w:szCs w:val="18"/>
        </w:rPr>
        <w:t>č</w:t>
      </w:r>
      <w:r w:rsidRPr="003A5DCE">
        <w:rPr>
          <w:sz w:val="18"/>
          <w:szCs w:val="18"/>
        </w:rPr>
        <w:t>un BDP</w:t>
      </w:r>
      <w:r>
        <w:rPr>
          <w:sz w:val="18"/>
          <w:szCs w:val="18"/>
        </w:rPr>
        <w:t>-</w:t>
      </w:r>
      <w:r w:rsidRPr="003A5DCE">
        <w:rPr>
          <w:sz w:val="18"/>
          <w:szCs w:val="18"/>
        </w:rPr>
        <w:t xml:space="preserve">a po </w:t>
      </w:r>
      <w:r>
        <w:rPr>
          <w:sz w:val="18"/>
          <w:szCs w:val="18"/>
        </w:rPr>
        <w:t>jedinicama lokalne samouprave.</w:t>
      </w:r>
    </w:p>
  </w:footnote>
  <w:footnote w:id="7">
    <w:p w:rsidR="001E6FD0" w:rsidRPr="006834AF" w:rsidRDefault="001E6FD0" w:rsidP="004F1AD2">
      <w:pPr>
        <w:pStyle w:val="FootnoteText"/>
        <w:tabs>
          <w:tab w:val="left" w:pos="399"/>
        </w:tabs>
        <w:rPr>
          <w:sz w:val="18"/>
          <w:szCs w:val="18"/>
        </w:rPr>
      </w:pPr>
      <w:r w:rsidRPr="006834AF">
        <w:rPr>
          <w:rStyle w:val="FootnoteCharacters"/>
          <w:sz w:val="18"/>
          <w:szCs w:val="18"/>
        </w:rPr>
        <w:footnoteRef/>
      </w:r>
      <w:r w:rsidRPr="006834AF">
        <w:rPr>
          <w:sz w:val="18"/>
          <w:szCs w:val="18"/>
          <w:lang w:val="hr-HR"/>
        </w:rPr>
        <w:t xml:space="preserve"> </w:t>
      </w:r>
      <w:r w:rsidRPr="006834AF">
        <w:rPr>
          <w:iCs/>
          <w:sz w:val="18"/>
          <w:szCs w:val="18"/>
          <w:lang w:val="hr-HR"/>
        </w:rPr>
        <w:t>Indeks socioekonomskog razvoja lokalnih zajednica FBiH, Federalni zavod za programiranje razvoja, maj 2016.</w:t>
      </w:r>
    </w:p>
  </w:footnote>
  <w:footnote w:id="8">
    <w:p w:rsidR="001E6FD0" w:rsidRPr="006834AF" w:rsidRDefault="001E6FD0" w:rsidP="00EC1EFE">
      <w:pPr>
        <w:pStyle w:val="FootnoteText"/>
        <w:rPr>
          <w:sz w:val="18"/>
          <w:szCs w:val="18"/>
        </w:rPr>
      </w:pPr>
      <w:r w:rsidRPr="006834AF">
        <w:rPr>
          <w:rStyle w:val="FootnoteCharacters"/>
          <w:sz w:val="18"/>
          <w:szCs w:val="18"/>
        </w:rPr>
        <w:footnoteRef/>
      </w:r>
      <w:r w:rsidRPr="006834AF">
        <w:rPr>
          <w:rStyle w:val="FootnoteCharacters"/>
          <w:sz w:val="18"/>
          <w:szCs w:val="18"/>
          <w:lang w:val="hr-HR"/>
        </w:rPr>
        <w:t xml:space="preserve"> </w:t>
      </w:r>
      <w:r w:rsidRPr="006834AF">
        <w:rPr>
          <w:sz w:val="18"/>
          <w:szCs w:val="18"/>
          <w:lang w:val="hr-HR"/>
        </w:rPr>
        <w:t>Lekcije iz Bosne i Kosova, Inicijativa za evropsku stabilnost, februar 2002.</w:t>
      </w:r>
    </w:p>
  </w:footnote>
  <w:footnote w:id="9">
    <w:p w:rsidR="001E6FD0" w:rsidRPr="00312E7A" w:rsidRDefault="001E6FD0" w:rsidP="00312E7A">
      <w:pPr>
        <w:pStyle w:val="FootnoteText"/>
        <w:rPr>
          <w:lang w:val="hr-HR"/>
        </w:rPr>
      </w:pPr>
      <w:r>
        <w:rPr>
          <w:rStyle w:val="FootnoteReference"/>
        </w:rPr>
        <w:footnoteRef/>
      </w:r>
      <w:r>
        <w:rPr>
          <w:sz w:val="18"/>
          <w:szCs w:val="18"/>
          <w:lang w:val="hr-HR"/>
        </w:rPr>
        <w:t>Tri regulaciona plana za uže gradsko područje, jedan za MZ Tojšići i jedan za MZ Memići.</w:t>
      </w:r>
    </w:p>
  </w:footnote>
  <w:footnote w:id="10">
    <w:p w:rsidR="001E6FD0" w:rsidRPr="006834AF" w:rsidRDefault="001E6FD0" w:rsidP="00312E7A">
      <w:pPr>
        <w:pStyle w:val="FootnoteText"/>
        <w:rPr>
          <w:sz w:val="18"/>
          <w:szCs w:val="18"/>
          <w:lang w:val="hr-HR"/>
        </w:rPr>
      </w:pPr>
      <w:r w:rsidRPr="006834AF">
        <w:rPr>
          <w:rStyle w:val="FootnoteReference"/>
          <w:sz w:val="18"/>
          <w:szCs w:val="18"/>
        </w:rPr>
        <w:footnoteRef/>
      </w:r>
      <w:r w:rsidRPr="006834AF">
        <w:rPr>
          <w:sz w:val="18"/>
          <w:szCs w:val="18"/>
          <w:lang w:val="hr-HR"/>
        </w:rPr>
        <w:t>Ranije su takse bilo dvostruko manje, a Odluka OV je predviđala i kategorije oslobođene plaćanja taksi.</w:t>
      </w:r>
    </w:p>
  </w:footnote>
  <w:footnote w:id="11">
    <w:p w:rsidR="001E6FD0" w:rsidRPr="006834AF" w:rsidRDefault="001E6FD0" w:rsidP="00312E7A">
      <w:pPr>
        <w:pStyle w:val="FootnoteText"/>
        <w:rPr>
          <w:sz w:val="18"/>
          <w:szCs w:val="18"/>
          <w:lang w:val="hr-HR"/>
        </w:rPr>
      </w:pPr>
      <w:r w:rsidRPr="006834AF">
        <w:rPr>
          <w:rStyle w:val="FootnoteReference"/>
          <w:sz w:val="18"/>
          <w:szCs w:val="18"/>
        </w:rPr>
        <w:footnoteRef/>
      </w:r>
      <w:r w:rsidRPr="006834AF">
        <w:rPr>
          <w:sz w:val="18"/>
          <w:szCs w:val="18"/>
          <w:lang w:val="hr-HR"/>
        </w:rPr>
        <w:t>Službene novine FBiH, br. 49/15.</w:t>
      </w:r>
    </w:p>
  </w:footnote>
  <w:footnote w:id="12">
    <w:p w:rsidR="001E6FD0" w:rsidRPr="006834AF" w:rsidRDefault="001E6FD0" w:rsidP="00B13631">
      <w:pPr>
        <w:pStyle w:val="FootnoteText"/>
        <w:rPr>
          <w:sz w:val="18"/>
          <w:szCs w:val="18"/>
          <w:lang w:val="hr-HR"/>
        </w:rPr>
      </w:pPr>
      <w:r w:rsidRPr="006834AF">
        <w:rPr>
          <w:rStyle w:val="FootnoteReference"/>
          <w:sz w:val="18"/>
          <w:szCs w:val="18"/>
        </w:rPr>
        <w:footnoteRef/>
      </w:r>
      <w:r w:rsidRPr="006834AF">
        <w:rPr>
          <w:spacing w:val="-6"/>
          <w:sz w:val="18"/>
          <w:szCs w:val="18"/>
          <w:lang w:val="hr-HR"/>
        </w:rPr>
        <w:t>Služba za urbanizam, geodetske, imovinsko-pravne poslove i infrastrukturu se suočava sa značajnim brojem neriješenih predmeta.</w:t>
      </w:r>
    </w:p>
  </w:footnote>
  <w:footnote w:id="13">
    <w:p w:rsidR="001E6FD0" w:rsidRPr="006834AF" w:rsidRDefault="001E6FD0" w:rsidP="00B13631">
      <w:pPr>
        <w:pStyle w:val="FootnoteText"/>
        <w:rPr>
          <w:sz w:val="18"/>
          <w:szCs w:val="18"/>
          <w:lang w:val="hr-HR"/>
        </w:rPr>
      </w:pPr>
      <w:r w:rsidRPr="006834AF">
        <w:rPr>
          <w:rStyle w:val="FootnoteReference"/>
          <w:sz w:val="18"/>
          <w:szCs w:val="18"/>
        </w:rPr>
        <w:footnoteRef/>
      </w:r>
      <w:r w:rsidRPr="006834AF">
        <w:rPr>
          <w:sz w:val="18"/>
          <w:szCs w:val="18"/>
          <w:lang w:val="hr-HR"/>
        </w:rPr>
        <w:t>Načelnik i općinski pravobranioc nemaju status državnog službenika, nego su izborni dužnosnici.</w:t>
      </w:r>
    </w:p>
  </w:footnote>
  <w:footnote w:id="14">
    <w:p w:rsidR="001E6FD0" w:rsidRPr="00B13631" w:rsidRDefault="001E6FD0" w:rsidP="00B13631">
      <w:pPr>
        <w:pStyle w:val="FootnoteText"/>
        <w:rPr>
          <w:lang w:val="hr-HR"/>
        </w:rPr>
      </w:pPr>
      <w:r>
        <w:rPr>
          <w:rStyle w:val="FootnoteReference"/>
        </w:rPr>
        <w:footnoteRef/>
      </w:r>
      <w:r>
        <w:rPr>
          <w:sz w:val="18"/>
          <w:szCs w:val="18"/>
          <w:lang w:val="hr-HR"/>
        </w:rPr>
        <w:t>Od ukupnog broja zaposlenih 30 je državnih službenika, a 55 je namještenika</w:t>
      </w:r>
    </w:p>
  </w:footnote>
  <w:footnote w:id="15">
    <w:p w:rsidR="001E6FD0" w:rsidRPr="00B13631" w:rsidRDefault="001E6FD0" w:rsidP="00B13631">
      <w:pPr>
        <w:pStyle w:val="FootnoteText"/>
        <w:rPr>
          <w:lang w:val="hr-HR"/>
        </w:rPr>
      </w:pPr>
      <w:r>
        <w:rPr>
          <w:rStyle w:val="FootnoteReference"/>
        </w:rPr>
        <w:footnoteRef/>
      </w:r>
      <w:r>
        <w:rPr>
          <w:sz w:val="18"/>
          <w:szCs w:val="18"/>
          <w:lang w:val="hr-HR"/>
        </w:rPr>
        <w:t>Od ukupno 19 zaposlenih žena,  jedna je na rukovodećoj poziciji.</w:t>
      </w:r>
    </w:p>
  </w:footnote>
  <w:footnote w:id="16">
    <w:p w:rsidR="001E6FD0" w:rsidRPr="006834AF" w:rsidRDefault="001E6FD0" w:rsidP="00B13631">
      <w:pPr>
        <w:pStyle w:val="FootnoteText"/>
        <w:rPr>
          <w:sz w:val="18"/>
          <w:szCs w:val="18"/>
          <w:lang w:val="hr-HR"/>
        </w:rPr>
      </w:pPr>
      <w:r w:rsidRPr="006834AF">
        <w:rPr>
          <w:rStyle w:val="FootnoteReference"/>
          <w:sz w:val="18"/>
          <w:szCs w:val="18"/>
        </w:rPr>
        <w:footnoteRef/>
      </w:r>
      <w:r w:rsidRPr="006834AF">
        <w:rPr>
          <w:sz w:val="18"/>
          <w:szCs w:val="18"/>
          <w:lang w:val="hr-HR"/>
        </w:rPr>
        <w:t xml:space="preserve"> Trenutno su zaposleni Bošnjaci i jedno lica srpske nacionalnosti, </w:t>
      </w:r>
    </w:p>
  </w:footnote>
  <w:footnote w:id="17">
    <w:p w:rsidR="001E6FD0" w:rsidRPr="006834AF" w:rsidRDefault="001E6FD0" w:rsidP="00B13631">
      <w:pPr>
        <w:pStyle w:val="FootnoteText"/>
        <w:rPr>
          <w:sz w:val="18"/>
          <w:szCs w:val="18"/>
          <w:lang w:val="hr-HR"/>
        </w:rPr>
      </w:pPr>
      <w:r w:rsidRPr="006834AF">
        <w:rPr>
          <w:rStyle w:val="FootnoteReference"/>
          <w:sz w:val="18"/>
          <w:szCs w:val="18"/>
        </w:rPr>
        <w:footnoteRef/>
      </w:r>
      <w:r w:rsidRPr="006834AF">
        <w:rPr>
          <w:spacing w:val="-4"/>
          <w:sz w:val="18"/>
          <w:szCs w:val="18"/>
          <w:lang w:val="hr-HR"/>
        </w:rPr>
        <w:t>Pravilnik predviđa 38 zaposleniha sa VSS, dok općinska administracija zapošljava 30 osobu sa VSS,.</w:t>
      </w:r>
    </w:p>
  </w:footnote>
  <w:footnote w:id="18">
    <w:p w:rsidR="001E6FD0" w:rsidRPr="006834AF" w:rsidRDefault="001E6FD0" w:rsidP="00312E7A">
      <w:pPr>
        <w:pStyle w:val="FootnoteText"/>
        <w:rPr>
          <w:sz w:val="18"/>
          <w:szCs w:val="18"/>
        </w:rPr>
      </w:pPr>
      <w:r w:rsidRPr="006834AF">
        <w:rPr>
          <w:rStyle w:val="FootnoteReference"/>
          <w:sz w:val="18"/>
          <w:szCs w:val="18"/>
        </w:rPr>
        <w:footnoteRef/>
      </w:r>
      <w:r w:rsidRPr="006834AF">
        <w:rPr>
          <w:sz w:val="18"/>
          <w:szCs w:val="18"/>
          <w:lang w:val="hr-HR"/>
        </w:rPr>
        <w:t>Svaki od sekretara radi sa šest do sedam mjesnih zajednica.</w:t>
      </w:r>
    </w:p>
  </w:footnote>
  <w:footnote w:id="19">
    <w:p w:rsidR="001E6FD0" w:rsidRPr="006834AF" w:rsidRDefault="001E6FD0" w:rsidP="00357EFE">
      <w:pPr>
        <w:pStyle w:val="FootnoteText"/>
        <w:rPr>
          <w:sz w:val="18"/>
          <w:szCs w:val="18"/>
          <w:lang w:val="hr-HR"/>
        </w:rPr>
      </w:pPr>
      <w:r w:rsidRPr="006834AF">
        <w:rPr>
          <w:rStyle w:val="FootnoteReference"/>
          <w:sz w:val="18"/>
          <w:szCs w:val="18"/>
        </w:rPr>
        <w:footnoteRef/>
      </w:r>
      <w:r w:rsidRPr="006834AF">
        <w:rPr>
          <w:sz w:val="18"/>
          <w:szCs w:val="18"/>
          <w:lang w:val="hr-HR"/>
        </w:rPr>
        <w:t>Za 2016. godini u budžetu je predviđeno i dodijeljeno 66.000 KM za rad MZ, a ista suma je planirana i u 2017. godini.</w:t>
      </w:r>
    </w:p>
  </w:footnote>
  <w:footnote w:id="20">
    <w:p w:rsidR="001E6FD0" w:rsidRPr="001B5C11" w:rsidRDefault="001E6FD0" w:rsidP="00357EFE">
      <w:pPr>
        <w:pStyle w:val="FootnoteText"/>
        <w:rPr>
          <w:sz w:val="18"/>
          <w:szCs w:val="18"/>
          <w:lang w:val="hr-HR"/>
        </w:rPr>
      </w:pPr>
      <w:r w:rsidRPr="001B5C11">
        <w:rPr>
          <w:rStyle w:val="FootnoteReference"/>
          <w:sz w:val="18"/>
          <w:szCs w:val="18"/>
        </w:rPr>
        <w:footnoteRef/>
      </w:r>
      <w:r w:rsidRPr="001B5C11">
        <w:rPr>
          <w:sz w:val="18"/>
          <w:szCs w:val="18"/>
          <w:lang w:val="hr-HR"/>
        </w:rPr>
        <w:t>To su: Udruženje „Zlatni</w:t>
      </w:r>
      <w:r>
        <w:rPr>
          <w:sz w:val="18"/>
          <w:szCs w:val="18"/>
          <w:lang w:val="hr-HR"/>
        </w:rPr>
        <w:t xml:space="preserve"> ljiljan“, </w:t>
      </w:r>
      <w:r w:rsidRPr="001B5C11">
        <w:rPr>
          <w:sz w:val="18"/>
          <w:szCs w:val="18"/>
          <w:lang w:val="hr-HR"/>
        </w:rPr>
        <w:t xml:space="preserve"> Eko-pokret „Zeleni“, Udruženje logoraša, UG „Osmijeh nade“, Udruženje </w:t>
      </w:r>
      <w:r>
        <w:rPr>
          <w:sz w:val="18"/>
          <w:szCs w:val="18"/>
          <w:lang w:val="hr-HR"/>
        </w:rPr>
        <w:t>Roma,</w:t>
      </w:r>
      <w:r w:rsidRPr="001B5C11">
        <w:rPr>
          <w:sz w:val="18"/>
          <w:szCs w:val="18"/>
          <w:lang w:val="hr-HR"/>
        </w:rPr>
        <w:t xml:space="preserve"> UG „Citizen“, UG penzionera, Udruženje građana „Patriotska liga“, Jedinstvena organizacija boraca, Udruženje ratnih vojnih invalida, Udruženje porodica šehida i poginulih boraca, Udruženje demobilisanih boraca, Udruženje zarobljenika, Bošnjačka zajednica kulture (BZK) „Preporod</w:t>
      </w:r>
      <w:r>
        <w:rPr>
          <w:sz w:val="18"/>
          <w:szCs w:val="18"/>
          <w:lang w:val="hr-HR"/>
        </w:rPr>
        <w:t xml:space="preserve">“ </w:t>
      </w:r>
    </w:p>
  </w:footnote>
  <w:footnote w:id="21">
    <w:p w:rsidR="001E6FD0" w:rsidRPr="001B5C11" w:rsidRDefault="001E6FD0" w:rsidP="00357EFE">
      <w:pPr>
        <w:pStyle w:val="FootnoteText"/>
        <w:rPr>
          <w:sz w:val="18"/>
          <w:szCs w:val="18"/>
          <w:lang w:val="hr-HR"/>
        </w:rPr>
      </w:pPr>
      <w:r w:rsidRPr="001B5C11">
        <w:rPr>
          <w:rStyle w:val="FootnoteReference"/>
          <w:sz w:val="18"/>
          <w:szCs w:val="18"/>
        </w:rPr>
        <w:footnoteRef/>
      </w:r>
      <w:r w:rsidRPr="001B5C11">
        <w:rPr>
          <w:sz w:val="18"/>
          <w:szCs w:val="18"/>
          <w:lang w:val="hr-HR"/>
        </w:rPr>
        <w:t>UG kojima su dodijeljeni grantovi: Udruženje „Zlatni ljiljan“, Eko-pokret „Zeleni“, UG „Osmijeh nade“, Udruženje logoraša, Crveni križ, Udruženje</w:t>
      </w:r>
      <w:r>
        <w:rPr>
          <w:sz w:val="18"/>
          <w:szCs w:val="18"/>
          <w:lang w:val="hr-HR"/>
        </w:rPr>
        <w:t xml:space="preserve"> Roma,</w:t>
      </w:r>
      <w:r w:rsidRPr="001B5C11">
        <w:rPr>
          <w:sz w:val="18"/>
          <w:szCs w:val="18"/>
          <w:lang w:val="hr-HR"/>
        </w:rPr>
        <w:t xml:space="preserve"> Udruženje građana „Citizen“, UG penzionera.</w:t>
      </w:r>
    </w:p>
  </w:footnote>
  <w:footnote w:id="22">
    <w:p w:rsidR="001E6FD0" w:rsidRPr="001B5C11" w:rsidRDefault="001E6FD0" w:rsidP="00357EFE">
      <w:pPr>
        <w:pStyle w:val="FootnoteText"/>
        <w:rPr>
          <w:sz w:val="18"/>
          <w:szCs w:val="18"/>
          <w:lang w:val="hr-HR"/>
        </w:rPr>
      </w:pPr>
      <w:r w:rsidRPr="001B5C11">
        <w:rPr>
          <w:rStyle w:val="FootnoteReference"/>
          <w:sz w:val="18"/>
          <w:szCs w:val="18"/>
        </w:rPr>
        <w:footnoteRef/>
      </w:r>
      <w:r w:rsidRPr="001B5C11">
        <w:rPr>
          <w:sz w:val="18"/>
          <w:szCs w:val="18"/>
          <w:lang w:val="hr-HR"/>
        </w:rPr>
        <w:t>Grantovi neprofitnim organizacijama - 44.000 KM, grantovi vjerskim zajednicama - 8.000 KM, grantovi iz oblasti kulture - 10.000 KM, grant Lokalnoj izbornoj komisiji - 43.000 KM, Crveni križ - 6.000 KM, Asocijacija mladih - 2.000 KM, Merhamet i Narodna kuhinja - 2.000 KM, grantovi iz oblasti sporta - 65.000 KM.</w:t>
      </w:r>
    </w:p>
  </w:footnote>
  <w:footnote w:id="23">
    <w:p w:rsidR="001E6FD0" w:rsidRPr="001B5C11" w:rsidRDefault="001E6FD0" w:rsidP="00357EFE">
      <w:pPr>
        <w:pStyle w:val="FootnoteText"/>
        <w:rPr>
          <w:sz w:val="18"/>
          <w:szCs w:val="18"/>
          <w:lang w:val="hr-HR"/>
        </w:rPr>
      </w:pPr>
      <w:r w:rsidRPr="001B5C11">
        <w:rPr>
          <w:rStyle w:val="FootnoteReference"/>
          <w:sz w:val="18"/>
          <w:szCs w:val="18"/>
        </w:rPr>
        <w:footnoteRef/>
      </w:r>
      <w:r w:rsidRPr="001B5C11">
        <w:rPr>
          <w:sz w:val="18"/>
          <w:szCs w:val="18"/>
          <w:lang w:val="hr-HR"/>
        </w:rPr>
        <w:t xml:space="preserve">Grantovi neprofitnim organizacijama - 64.000 KM, grantovi iz oblasti kulture - 15.000 KM, grantovi iz oblasti sporta – 100.000 KM, grantovi vjerskim zajednicama - 8.000 KM, grant Lokalnoj izbornoj komisiji - 25.000 KM.  </w:t>
      </w:r>
    </w:p>
  </w:footnote>
  <w:footnote w:id="24">
    <w:p w:rsidR="001E6FD0" w:rsidRPr="001B5C11" w:rsidRDefault="001E6FD0" w:rsidP="00357EFE">
      <w:pPr>
        <w:pStyle w:val="FootnoteText"/>
        <w:rPr>
          <w:sz w:val="18"/>
          <w:szCs w:val="18"/>
          <w:lang w:val="hr-HR"/>
        </w:rPr>
      </w:pPr>
      <w:r w:rsidRPr="001B5C11">
        <w:rPr>
          <w:rStyle w:val="FootnoteReference"/>
          <w:sz w:val="18"/>
          <w:szCs w:val="18"/>
        </w:rPr>
        <w:footnoteRef/>
      </w:r>
      <w:r w:rsidRPr="001B5C11">
        <w:rPr>
          <w:sz w:val="18"/>
          <w:szCs w:val="18"/>
          <w:lang w:val="hr-HR"/>
        </w:rPr>
        <w:t>Mogućnost prisustvovanja sjednicama OV, učešća na okruglim stolovima, javnim raspravama i tribinama.</w:t>
      </w:r>
    </w:p>
  </w:footnote>
  <w:footnote w:id="25">
    <w:p w:rsidR="001E6FD0" w:rsidRPr="001B5C11" w:rsidRDefault="001E6FD0" w:rsidP="00957039">
      <w:pPr>
        <w:pStyle w:val="FootnoteText"/>
        <w:rPr>
          <w:sz w:val="18"/>
          <w:szCs w:val="18"/>
        </w:rPr>
      </w:pPr>
      <w:r w:rsidRPr="001B5C11">
        <w:rPr>
          <w:rStyle w:val="FootnoteReference"/>
          <w:sz w:val="18"/>
          <w:szCs w:val="18"/>
        </w:rPr>
        <w:footnoteRef/>
      </w:r>
      <w:r w:rsidRPr="001B5C11">
        <w:rPr>
          <w:sz w:val="18"/>
          <w:szCs w:val="18"/>
          <w:lang w:val="hr-HR"/>
        </w:rPr>
        <w:t xml:space="preserve">Službeni novine FBiH, br. 36/99, </w:t>
      </w:r>
      <w:r w:rsidRPr="001B5C11">
        <w:rPr>
          <w:sz w:val="18"/>
          <w:szCs w:val="18"/>
        </w:rPr>
        <w:t>54/04, 39/06 i 14/09</w:t>
      </w:r>
    </w:p>
  </w:footnote>
  <w:footnote w:id="26">
    <w:p w:rsidR="001E6FD0" w:rsidRPr="001B5C11" w:rsidRDefault="001E6FD0" w:rsidP="001A6DA8">
      <w:pPr>
        <w:pStyle w:val="FootnoteText"/>
        <w:rPr>
          <w:sz w:val="18"/>
          <w:szCs w:val="18"/>
        </w:rPr>
      </w:pPr>
      <w:r w:rsidRPr="001B5C11">
        <w:rPr>
          <w:rStyle w:val="FootnoteReference"/>
          <w:sz w:val="18"/>
          <w:szCs w:val="18"/>
        </w:rPr>
        <w:footnoteRef/>
      </w:r>
      <w:r w:rsidRPr="001B5C11">
        <w:rPr>
          <w:sz w:val="18"/>
          <w:szCs w:val="18"/>
          <w:lang w:val="hr-HR"/>
        </w:rPr>
        <w:t>Službene novine Tuzlanskog kantona“ br. 5/12, 7/14, 11/15 i 13/16</w:t>
      </w:r>
    </w:p>
  </w:footnote>
  <w:footnote w:id="27">
    <w:p w:rsidR="001E6FD0" w:rsidRPr="001B5C11" w:rsidRDefault="001E6FD0" w:rsidP="00E41A84">
      <w:pPr>
        <w:pStyle w:val="FootnoteText"/>
        <w:rPr>
          <w:sz w:val="18"/>
          <w:szCs w:val="18"/>
          <w:lang w:val="hr-HR"/>
        </w:rPr>
      </w:pPr>
      <w:r w:rsidRPr="001B5C11">
        <w:rPr>
          <w:rStyle w:val="FootnoteReference"/>
          <w:sz w:val="18"/>
          <w:szCs w:val="18"/>
        </w:rPr>
        <w:footnoteRef/>
      </w:r>
      <w:r w:rsidRPr="001B5C11">
        <w:rPr>
          <w:sz w:val="18"/>
          <w:szCs w:val="18"/>
          <w:lang w:val="hr-HR"/>
        </w:rPr>
        <w:t>Javna ustanova Centar za socijalni rad Kalesija je osnovana 1981. godine od strane Skupštine općine Kalesija, kao radna organizacija čija je tadašnja uloga bila provođenje socijalne, dječije i porodične zaštite na području općine Kalesija. U toku agresije na Bosnu i Hercegovinu Skupština općine Kalesija svojom Odlukom broj: 01/1-013-15/93 od 13.03.1993. godine a Općinsko vijeće Kalesija svojom Odlukom broj: 01-05-2-3879/02 od 26.11.2002. godine zadržalo je pravo osnivača radi pružanja stručnih i drugih usluga korisnicima socijalne, dječije i porodične zaštite u skladu sa Zakonom i drugim zakonskim propisima.</w:t>
      </w:r>
    </w:p>
  </w:footnote>
  <w:footnote w:id="28">
    <w:p w:rsidR="001E6FD0" w:rsidRPr="001B5C11" w:rsidRDefault="001E6FD0" w:rsidP="00E41A84">
      <w:pPr>
        <w:pStyle w:val="FootnoteText"/>
        <w:rPr>
          <w:sz w:val="18"/>
          <w:szCs w:val="18"/>
          <w:lang w:val="hr-HR"/>
        </w:rPr>
      </w:pPr>
      <w:r w:rsidRPr="001B5C11">
        <w:rPr>
          <w:rStyle w:val="FootnoteReference"/>
          <w:sz w:val="18"/>
          <w:szCs w:val="18"/>
        </w:rPr>
        <w:footnoteRef/>
      </w:r>
      <w:r w:rsidRPr="001B5C11">
        <w:rPr>
          <w:sz w:val="18"/>
          <w:szCs w:val="18"/>
          <w:lang w:val="hr-HR"/>
        </w:rPr>
        <w:t>Budžetom za 2017. godini planiran je  iznos u visini od 269.500 KM.</w:t>
      </w:r>
    </w:p>
  </w:footnote>
  <w:footnote w:id="29">
    <w:p w:rsidR="001E6FD0" w:rsidRPr="009071AF" w:rsidRDefault="001E6FD0">
      <w:pPr>
        <w:pStyle w:val="FootnoteText"/>
        <w:rPr>
          <w:sz w:val="18"/>
        </w:rPr>
      </w:pPr>
      <w:r>
        <w:rPr>
          <w:rStyle w:val="FootnoteReference"/>
        </w:rPr>
        <w:footnoteRef/>
      </w:r>
      <w:r>
        <w:t xml:space="preserve"> </w:t>
      </w:r>
      <w:r w:rsidRPr="009071AF">
        <w:rPr>
          <w:sz w:val="18"/>
        </w:rPr>
        <w:t>Stvarni povratnik je onaj koji se vratio i stalno živi u svojoj kući.</w:t>
      </w:r>
    </w:p>
  </w:footnote>
  <w:footnote w:id="30">
    <w:p w:rsidR="001E6FD0" w:rsidRPr="00F42328" w:rsidRDefault="001E6FD0" w:rsidP="001A6DA8">
      <w:pPr>
        <w:pStyle w:val="FootnoteText"/>
        <w:rPr>
          <w:color w:val="000000" w:themeColor="text1"/>
          <w:lang w:val="hr-HR"/>
        </w:rPr>
      </w:pPr>
      <w:r w:rsidRPr="00F42328">
        <w:rPr>
          <w:rStyle w:val="FootnoteReference"/>
          <w:color w:val="000000" w:themeColor="text1"/>
        </w:rPr>
        <w:footnoteRef/>
      </w:r>
      <w:r w:rsidRPr="00F42328">
        <w:rPr>
          <w:color w:val="000000" w:themeColor="text1"/>
          <w:spacing w:val="-8"/>
          <w:sz w:val="18"/>
          <w:szCs w:val="18"/>
          <w:lang w:val="hr-HR"/>
        </w:rPr>
        <w:t>Primjera radi u Domu zdravlja izgrađen je prilaz za invalidna kolica, ali samo do prizemlja zgrade, a dječiji dispanzer je na prvom spratu.</w:t>
      </w:r>
    </w:p>
  </w:footnote>
  <w:footnote w:id="31">
    <w:p w:rsidR="001E6FD0" w:rsidRPr="00AE38A9" w:rsidRDefault="001E6FD0" w:rsidP="002E79A7">
      <w:pPr>
        <w:pStyle w:val="FootnoteText"/>
        <w:rPr>
          <w:sz w:val="18"/>
          <w:szCs w:val="18"/>
          <w:lang w:val="hr-HR"/>
        </w:rPr>
      </w:pPr>
      <w:r>
        <w:rPr>
          <w:rStyle w:val="FootnoteReference"/>
        </w:rPr>
        <w:footnoteRef/>
      </w:r>
      <w:r>
        <w:rPr>
          <w:sz w:val="18"/>
          <w:szCs w:val="18"/>
          <w:lang w:val="hr-HR"/>
        </w:rPr>
        <w:t xml:space="preserve"> </w:t>
      </w:r>
      <w:r w:rsidRPr="00AE38A9">
        <w:rPr>
          <w:spacing w:val="-4"/>
          <w:sz w:val="18"/>
          <w:szCs w:val="18"/>
          <w:lang w:val="hr-HR"/>
        </w:rPr>
        <w:t>Mjesne zajednice u kojima rade područne ambulante: Tojšići, Memići, Vukovije Donje, Vukovije Gornje ; Hrasno Donje, Gojčin</w:t>
      </w:r>
      <w:r w:rsidRPr="00AE38A9">
        <w:rPr>
          <w:color w:val="FF0000"/>
          <w:spacing w:val="-4"/>
          <w:sz w:val="18"/>
          <w:szCs w:val="18"/>
          <w:lang w:val="hr-HR"/>
        </w:rPr>
        <w:t xml:space="preserve"> </w:t>
      </w:r>
      <w:r w:rsidRPr="00AE38A9">
        <w:rPr>
          <w:spacing w:val="-4"/>
          <w:sz w:val="18"/>
          <w:szCs w:val="18"/>
          <w:lang w:val="hr-HR"/>
        </w:rPr>
        <w:t>Donji Rainci  i Rainci Gornji.</w:t>
      </w:r>
    </w:p>
  </w:footnote>
  <w:footnote w:id="32">
    <w:p w:rsidR="001E6FD0" w:rsidRPr="00AE38A9" w:rsidRDefault="001E6FD0" w:rsidP="002E79A7">
      <w:pPr>
        <w:pStyle w:val="FootnoteText"/>
        <w:rPr>
          <w:sz w:val="18"/>
          <w:szCs w:val="18"/>
          <w:lang w:val="hr-HR"/>
        </w:rPr>
      </w:pPr>
      <w:r w:rsidRPr="00AE38A9">
        <w:rPr>
          <w:rStyle w:val="FootnoteReference"/>
          <w:sz w:val="18"/>
          <w:szCs w:val="18"/>
        </w:rPr>
        <w:footnoteRef/>
      </w:r>
      <w:r w:rsidRPr="00AE38A9">
        <w:rPr>
          <w:sz w:val="18"/>
          <w:szCs w:val="18"/>
          <w:lang w:val="hr-HR"/>
        </w:rPr>
        <w:t xml:space="preserve"> DZ ima 15 timova porodičme medicine: 6 u Kalesiji, 1 u Memićima;  3 u Tojšićima; Vukovijama Gornjim; Vukovijama Donjim; Hrasnu Donjem; Raincima Gornjim; Raincima Donjim .</w:t>
      </w:r>
    </w:p>
  </w:footnote>
  <w:footnote w:id="33">
    <w:p w:rsidR="001E6FD0" w:rsidRPr="00AE38A9" w:rsidRDefault="001E6FD0" w:rsidP="002E79A7">
      <w:pPr>
        <w:pStyle w:val="FootnoteText"/>
        <w:rPr>
          <w:sz w:val="18"/>
          <w:szCs w:val="18"/>
          <w:lang w:val="hr-HR"/>
        </w:rPr>
      </w:pPr>
      <w:r w:rsidRPr="00AE38A9">
        <w:rPr>
          <w:rStyle w:val="FootnoteReference"/>
          <w:sz w:val="18"/>
          <w:szCs w:val="18"/>
        </w:rPr>
        <w:footnoteRef/>
      </w:r>
      <w:r w:rsidRPr="00AE38A9">
        <w:rPr>
          <w:sz w:val="18"/>
          <w:szCs w:val="18"/>
          <w:lang w:val="hr-HR"/>
        </w:rPr>
        <w:t xml:space="preserve"> U Specijalističko-konsultativnoj službi radi specijalista za plućne bolesti, 1 internista, 2 pedijatar,1 epidemiolog, ginekolog, psihijatar, neurilog, specijalista medicine rada, radiolog, otorinolaringolog, dermatolog, specijalista fizikalne medicine.</w:t>
      </w:r>
    </w:p>
  </w:footnote>
  <w:footnote w:id="34">
    <w:p w:rsidR="001E6FD0" w:rsidRPr="00AE38A9" w:rsidRDefault="001E6FD0" w:rsidP="002E79A7">
      <w:pPr>
        <w:pStyle w:val="FootnoteText"/>
        <w:rPr>
          <w:sz w:val="18"/>
          <w:szCs w:val="18"/>
          <w:lang w:val="hr-HR"/>
        </w:rPr>
      </w:pPr>
      <w:r w:rsidRPr="00AE38A9">
        <w:rPr>
          <w:rStyle w:val="FootnoteReference"/>
          <w:sz w:val="18"/>
          <w:szCs w:val="18"/>
        </w:rPr>
        <w:footnoteRef/>
      </w:r>
      <w:r w:rsidRPr="00AE38A9">
        <w:rPr>
          <w:sz w:val="18"/>
          <w:szCs w:val="18"/>
          <w:lang w:val="hr-HR"/>
        </w:rPr>
        <w:t xml:space="preserve"> U Patronažnoj službi radi 1 viši medicinski tehničar, 2 medicinske sestre uz ispomoć ljekara iz ostalih službi.</w:t>
      </w:r>
    </w:p>
  </w:footnote>
  <w:footnote w:id="35">
    <w:p w:rsidR="001E6FD0" w:rsidRPr="00AE38A9" w:rsidRDefault="001E6FD0" w:rsidP="002E79A7">
      <w:pPr>
        <w:pStyle w:val="FootnoteText"/>
        <w:rPr>
          <w:sz w:val="18"/>
          <w:szCs w:val="18"/>
          <w:lang w:val="hr-HR"/>
        </w:rPr>
      </w:pPr>
      <w:r w:rsidRPr="00AE38A9">
        <w:rPr>
          <w:rStyle w:val="FootnoteReference"/>
          <w:sz w:val="18"/>
          <w:szCs w:val="18"/>
        </w:rPr>
        <w:footnoteRef/>
      </w:r>
      <w:r w:rsidRPr="00AE38A9">
        <w:rPr>
          <w:sz w:val="18"/>
          <w:szCs w:val="18"/>
          <w:lang w:val="hr-HR"/>
        </w:rPr>
        <w:t xml:space="preserve"> Na specijalizaciji je ljekar za psihijatar :ljekar za urgentu medicinu ljekar za porodičnu medicinu</w:t>
      </w:r>
    </w:p>
  </w:footnote>
  <w:footnote w:id="36">
    <w:p w:rsidR="001E6FD0" w:rsidRPr="00AE38A9" w:rsidRDefault="001E6FD0" w:rsidP="002E79A7">
      <w:pPr>
        <w:pStyle w:val="FootnoteText"/>
        <w:rPr>
          <w:sz w:val="18"/>
          <w:szCs w:val="18"/>
          <w:lang w:val="hr-HR"/>
        </w:rPr>
      </w:pPr>
      <w:r w:rsidRPr="00AE38A9">
        <w:rPr>
          <w:rStyle w:val="FootnoteReference"/>
          <w:sz w:val="18"/>
          <w:szCs w:val="18"/>
        </w:rPr>
        <w:footnoteRef/>
      </w:r>
      <w:r w:rsidRPr="00AE38A9">
        <w:rPr>
          <w:sz w:val="18"/>
          <w:szCs w:val="18"/>
          <w:lang w:val="hr-HR"/>
        </w:rPr>
        <w:t xml:space="preserve"> Autobusna liniju s Kalesijom nije nikad uspostavljena zbog lošeg puta na jednoj dionici, koja ne pripada MZ Seljublje, a gdje su naseljeni Romi koji nisu finansijski sposobni da kroz projekat „marka na marku“ pokrenu izgradnje puta s Općinom.</w:t>
      </w:r>
    </w:p>
  </w:footnote>
  <w:footnote w:id="37">
    <w:p w:rsidR="001E6FD0" w:rsidRPr="00AE38A9" w:rsidRDefault="001E6FD0" w:rsidP="005D397A">
      <w:pPr>
        <w:pStyle w:val="FootnoteText"/>
        <w:rPr>
          <w:sz w:val="18"/>
          <w:szCs w:val="18"/>
          <w:lang w:val="hr-HR"/>
        </w:rPr>
      </w:pPr>
      <w:r w:rsidRPr="00AE38A9">
        <w:rPr>
          <w:rStyle w:val="FootnoteReference"/>
          <w:sz w:val="18"/>
          <w:szCs w:val="18"/>
        </w:rPr>
        <w:footnoteRef/>
      </w:r>
      <w:r w:rsidRPr="00AE38A9">
        <w:rPr>
          <w:sz w:val="18"/>
          <w:szCs w:val="18"/>
          <w:lang w:val="hr-HR"/>
        </w:rPr>
        <w:t xml:space="preserve"> Zakon o osnovnom odgoju i obrazovanju, Zakon o srednjem obrazovanju, Službene novine TK, br. 8/2015.</w:t>
      </w:r>
    </w:p>
  </w:footnote>
  <w:footnote w:id="38">
    <w:p w:rsidR="001E6FD0" w:rsidRPr="00AE38A9" w:rsidRDefault="001E6FD0" w:rsidP="005D397A">
      <w:pPr>
        <w:rPr>
          <w:sz w:val="18"/>
          <w:szCs w:val="18"/>
        </w:rPr>
      </w:pPr>
      <w:r w:rsidRPr="00AE38A9">
        <w:rPr>
          <w:rStyle w:val="FootnoteReference"/>
          <w:sz w:val="18"/>
          <w:szCs w:val="18"/>
        </w:rPr>
        <w:footnoteRef/>
      </w:r>
      <w:r w:rsidRPr="00AE38A9">
        <w:rPr>
          <w:sz w:val="18"/>
          <w:szCs w:val="18"/>
        </w:rPr>
        <w:t xml:space="preserve"> Nadležni općinski organ dostavlja osnovnim školama spisak školskih obveznika za upis u redovnu osnovnu školu, te daje prijedlog za školsko područje sa kojeg je redovna osnovna škola obavezna da primi školske obveznike.</w:t>
      </w:r>
    </w:p>
  </w:footnote>
  <w:footnote w:id="39">
    <w:p w:rsidR="001E6FD0" w:rsidRPr="00D25E97" w:rsidRDefault="001E6FD0" w:rsidP="005D397A">
      <w:pPr>
        <w:pStyle w:val="FootnoteText"/>
        <w:rPr>
          <w:sz w:val="18"/>
          <w:szCs w:val="18"/>
          <w:lang w:val="hr-HR"/>
        </w:rPr>
      </w:pPr>
      <w:r w:rsidRPr="00D25E97">
        <w:rPr>
          <w:rStyle w:val="FootnoteReference"/>
          <w:sz w:val="18"/>
          <w:szCs w:val="18"/>
        </w:rPr>
        <w:footnoteRef/>
      </w:r>
      <w:r w:rsidRPr="00D25E97">
        <w:rPr>
          <w:sz w:val="18"/>
          <w:szCs w:val="18"/>
          <w:lang w:val="hr-HR"/>
        </w:rPr>
        <w:t xml:space="preserve"> </w:t>
      </w:r>
      <w:r>
        <w:rPr>
          <w:sz w:val="18"/>
          <w:szCs w:val="18"/>
          <w:lang w:val="hr-HR"/>
        </w:rPr>
        <w:t>U općinskom b</w:t>
      </w:r>
      <w:r w:rsidRPr="00D25E97">
        <w:rPr>
          <w:sz w:val="18"/>
          <w:szCs w:val="18"/>
          <w:lang w:val="hr-HR"/>
        </w:rPr>
        <w:t>udžet</w:t>
      </w:r>
      <w:r>
        <w:rPr>
          <w:sz w:val="18"/>
          <w:szCs w:val="18"/>
          <w:lang w:val="hr-HR"/>
        </w:rPr>
        <w:t>u</w:t>
      </w:r>
      <w:r w:rsidRPr="00D25E97">
        <w:rPr>
          <w:sz w:val="18"/>
          <w:szCs w:val="18"/>
          <w:lang w:val="hr-HR"/>
        </w:rPr>
        <w:t xml:space="preserve"> za 2016. </w:t>
      </w:r>
      <w:r>
        <w:rPr>
          <w:sz w:val="18"/>
          <w:szCs w:val="18"/>
          <w:lang w:val="hr-HR"/>
        </w:rPr>
        <w:t xml:space="preserve">i 2017. </w:t>
      </w:r>
      <w:r w:rsidRPr="00D25E97">
        <w:rPr>
          <w:sz w:val="18"/>
          <w:szCs w:val="18"/>
          <w:lang w:val="hr-HR"/>
        </w:rPr>
        <w:t xml:space="preserve">godinu predviđeno je </w:t>
      </w:r>
      <w:r>
        <w:rPr>
          <w:sz w:val="18"/>
          <w:szCs w:val="18"/>
          <w:lang w:val="hr-HR"/>
        </w:rPr>
        <w:t xml:space="preserve">po </w:t>
      </w:r>
      <w:r w:rsidRPr="00D25E97">
        <w:rPr>
          <w:sz w:val="18"/>
          <w:szCs w:val="18"/>
          <w:lang w:val="hr-HR"/>
        </w:rPr>
        <w:t>93</w:t>
      </w:r>
      <w:r>
        <w:rPr>
          <w:sz w:val="18"/>
          <w:szCs w:val="18"/>
          <w:lang w:val="hr-HR"/>
        </w:rPr>
        <w:t>.</w:t>
      </w:r>
      <w:r w:rsidRPr="00D25E97">
        <w:rPr>
          <w:sz w:val="18"/>
          <w:szCs w:val="18"/>
          <w:lang w:val="hr-HR"/>
        </w:rPr>
        <w:t>000 KM za isplate stipendija</w:t>
      </w:r>
      <w:r>
        <w:rPr>
          <w:sz w:val="18"/>
          <w:szCs w:val="18"/>
          <w:lang w:val="hr-HR"/>
        </w:rPr>
        <w:t xml:space="preserve"> i sredstva</w:t>
      </w:r>
      <w:r w:rsidRPr="00D25E97">
        <w:rPr>
          <w:sz w:val="18"/>
          <w:szCs w:val="18"/>
          <w:lang w:val="hr-HR"/>
        </w:rPr>
        <w:t xml:space="preserve"> za podršku obrazovanju romske i druge djece u visini od 10.000 KM. Osim toga, svake godine iz općinskog budžeta izdvajaju se sredstva za podršku provođenj</w:t>
      </w:r>
      <w:r>
        <w:rPr>
          <w:sz w:val="18"/>
          <w:szCs w:val="18"/>
          <w:lang w:val="hr-HR"/>
        </w:rPr>
        <w:t>u</w:t>
      </w:r>
      <w:r w:rsidRPr="00D25E97">
        <w:rPr>
          <w:sz w:val="18"/>
          <w:szCs w:val="18"/>
          <w:lang w:val="hr-HR"/>
        </w:rPr>
        <w:t xml:space="preserve"> obaveznog predškolskog programa, za 2017.godinu planirana su sredstva</w:t>
      </w:r>
      <w:r>
        <w:rPr>
          <w:sz w:val="18"/>
          <w:szCs w:val="18"/>
          <w:lang w:val="hr-HR"/>
        </w:rPr>
        <w:t xml:space="preserve"> </w:t>
      </w:r>
      <w:r w:rsidRPr="00D25E97">
        <w:rPr>
          <w:sz w:val="18"/>
          <w:szCs w:val="18"/>
          <w:lang w:val="hr-HR"/>
        </w:rPr>
        <w:t>od 22</w:t>
      </w:r>
      <w:r>
        <w:rPr>
          <w:sz w:val="18"/>
          <w:szCs w:val="18"/>
          <w:lang w:val="hr-HR"/>
        </w:rPr>
        <w:t>.</w:t>
      </w:r>
      <w:r w:rsidRPr="00D25E97">
        <w:rPr>
          <w:sz w:val="18"/>
          <w:szCs w:val="18"/>
          <w:lang w:val="hr-HR"/>
        </w:rPr>
        <w:t>300 KM</w:t>
      </w:r>
      <w:r>
        <w:rPr>
          <w:sz w:val="18"/>
          <w:szCs w:val="18"/>
          <w:lang w:val="hr-HR"/>
        </w:rPr>
        <w:t>.</w:t>
      </w:r>
    </w:p>
  </w:footnote>
  <w:footnote w:id="40">
    <w:p w:rsidR="001E6FD0" w:rsidRPr="00D25E97" w:rsidRDefault="001E6FD0" w:rsidP="005D397A">
      <w:pPr>
        <w:pStyle w:val="FootnoteText"/>
        <w:rPr>
          <w:sz w:val="18"/>
          <w:szCs w:val="18"/>
          <w:lang w:val="hr-HR"/>
        </w:rPr>
      </w:pPr>
      <w:r w:rsidRPr="00D25E97">
        <w:rPr>
          <w:rStyle w:val="FootnoteReference"/>
          <w:sz w:val="18"/>
          <w:szCs w:val="18"/>
        </w:rPr>
        <w:footnoteRef/>
      </w:r>
      <w:r w:rsidRPr="00D25E97">
        <w:rPr>
          <w:sz w:val="18"/>
          <w:szCs w:val="18"/>
          <w:lang w:val="hr-HR"/>
        </w:rPr>
        <w:t xml:space="preserve"> Škola u Raincima i škola u Kalesiji imaju djelomično riješene mokre čvorove.</w:t>
      </w:r>
    </w:p>
  </w:footnote>
  <w:footnote w:id="41">
    <w:p w:rsidR="001E6FD0" w:rsidRPr="00D25E97" w:rsidRDefault="001E6FD0" w:rsidP="005D397A">
      <w:pPr>
        <w:pStyle w:val="FootnoteText"/>
        <w:rPr>
          <w:sz w:val="18"/>
          <w:szCs w:val="18"/>
          <w:lang w:val="hr-HR"/>
        </w:rPr>
      </w:pPr>
      <w:r w:rsidRPr="00D25E97">
        <w:rPr>
          <w:rStyle w:val="FootnoteReference"/>
          <w:sz w:val="18"/>
          <w:szCs w:val="18"/>
        </w:rPr>
        <w:footnoteRef/>
      </w:r>
      <w:r w:rsidRPr="00D25E97">
        <w:rPr>
          <w:sz w:val="18"/>
          <w:szCs w:val="18"/>
          <w:lang w:val="hr-HR"/>
        </w:rPr>
        <w:t xml:space="preserve"> Djeca dolaze iz Sapne, Zvornika, Teočaka, Osmaka.</w:t>
      </w:r>
    </w:p>
  </w:footnote>
  <w:footnote w:id="42">
    <w:p w:rsidR="001E6FD0" w:rsidRPr="00D25E97" w:rsidRDefault="001E6FD0" w:rsidP="005D397A">
      <w:pPr>
        <w:pStyle w:val="FootnoteText"/>
        <w:rPr>
          <w:sz w:val="18"/>
          <w:szCs w:val="18"/>
          <w:lang w:val="hr-HR"/>
        </w:rPr>
      </w:pPr>
      <w:r w:rsidRPr="00D25E97">
        <w:rPr>
          <w:rStyle w:val="FootnoteReference"/>
          <w:sz w:val="18"/>
          <w:szCs w:val="18"/>
        </w:rPr>
        <w:footnoteRef/>
      </w:r>
      <w:r w:rsidRPr="00D25E97">
        <w:rPr>
          <w:sz w:val="18"/>
          <w:szCs w:val="18"/>
          <w:lang w:val="hr-HR"/>
        </w:rPr>
        <w:t xml:space="preserve"> </w:t>
      </w:r>
      <w:r w:rsidRPr="00D25E97">
        <w:rPr>
          <w:spacing w:val="-4"/>
          <w:sz w:val="18"/>
          <w:szCs w:val="18"/>
          <w:lang w:val="hr-HR"/>
        </w:rPr>
        <w:t>U MZ Seljublje postoji četverogodišnja škola, a djeca starijeg uzrasta pješače do škole 9 km, jer nema organiziranog prevoza.</w:t>
      </w:r>
      <w:r w:rsidRPr="00DB7001">
        <w:t xml:space="preserve"> </w:t>
      </w:r>
      <w:r w:rsidRPr="00DB7001">
        <w:rPr>
          <w:spacing w:val="-4"/>
          <w:sz w:val="18"/>
          <w:szCs w:val="18"/>
          <w:lang w:val="hr-HR"/>
        </w:rPr>
        <w:t>CSR plaća prevoz za 65 učenika koji potiču iz socijalno ugroženih porodica</w:t>
      </w:r>
      <w:r>
        <w:rPr>
          <w:spacing w:val="-4"/>
          <w:sz w:val="18"/>
          <w:szCs w:val="18"/>
          <w:lang w:val="hr-HR"/>
        </w:rPr>
        <w:t>.</w:t>
      </w:r>
    </w:p>
  </w:footnote>
  <w:footnote w:id="43">
    <w:p w:rsidR="001E6FD0" w:rsidRPr="00235AB8" w:rsidRDefault="001E6FD0">
      <w:pPr>
        <w:pStyle w:val="FootnoteText"/>
        <w:rPr>
          <w:sz w:val="18"/>
        </w:rPr>
      </w:pPr>
      <w:r w:rsidRPr="00235AB8">
        <w:rPr>
          <w:rStyle w:val="FootnoteReference"/>
          <w:sz w:val="18"/>
        </w:rPr>
        <w:footnoteRef/>
      </w:r>
      <w:r w:rsidRPr="00235AB8">
        <w:rPr>
          <w:sz w:val="18"/>
        </w:rPr>
        <w:t xml:space="preserve"> U 2017. godini, u JP ViK bilo je 18 zaposlenika, sa sljedećom kvalifikacionom strukturom: VSS  – 4 zaposlenika; SSS  – 5 zaposlenika; VKV – 1 zaposlenik i KV  –  8 zaposlenika. JP ViK raspolaže opremom za građevinske radove i za održavanje vodovodne i kanalizacione mreže.</w:t>
      </w:r>
    </w:p>
  </w:footnote>
  <w:footnote w:id="44">
    <w:p w:rsidR="001E6FD0" w:rsidRPr="00D25E97" w:rsidRDefault="001E6FD0" w:rsidP="0017088B">
      <w:pPr>
        <w:pStyle w:val="FootnoteText"/>
        <w:rPr>
          <w:sz w:val="18"/>
          <w:szCs w:val="18"/>
        </w:rPr>
      </w:pPr>
      <w:r w:rsidRPr="00D25E97">
        <w:rPr>
          <w:rStyle w:val="FootnoteReference"/>
          <w:sz w:val="18"/>
          <w:szCs w:val="18"/>
        </w:rPr>
        <w:footnoteRef/>
      </w:r>
      <w:r>
        <w:rPr>
          <w:sz w:val="18"/>
          <w:szCs w:val="18"/>
        </w:rPr>
        <w:t xml:space="preserve"> Podaci općinske Službe</w:t>
      </w:r>
      <w:r w:rsidRPr="00D25E97">
        <w:rPr>
          <w:sz w:val="18"/>
          <w:szCs w:val="18"/>
        </w:rPr>
        <w:t xml:space="preserve"> za prostorno planiranje i građenje i komunalne poslove </w:t>
      </w:r>
    </w:p>
  </w:footnote>
  <w:footnote w:id="45">
    <w:p w:rsidR="001E6FD0" w:rsidRPr="00D25E97" w:rsidRDefault="001E6FD0" w:rsidP="00270260">
      <w:pPr>
        <w:pStyle w:val="FootnoteText"/>
        <w:rPr>
          <w:sz w:val="18"/>
          <w:szCs w:val="18"/>
        </w:rPr>
      </w:pPr>
      <w:r w:rsidRPr="00D25E97">
        <w:rPr>
          <w:rStyle w:val="FootnoteReference"/>
          <w:sz w:val="18"/>
          <w:szCs w:val="18"/>
        </w:rPr>
        <w:footnoteRef/>
      </w:r>
      <w:r>
        <w:rPr>
          <w:sz w:val="18"/>
          <w:szCs w:val="18"/>
        </w:rPr>
        <w:t xml:space="preserve">  Podaci općinske </w:t>
      </w:r>
      <w:r w:rsidRPr="00D25E97">
        <w:rPr>
          <w:sz w:val="18"/>
          <w:szCs w:val="18"/>
        </w:rPr>
        <w:t>Služba za prostorno planiranje i građenje i komunalne poslove</w:t>
      </w:r>
    </w:p>
  </w:footnote>
  <w:footnote w:id="46">
    <w:p w:rsidR="001E6FD0" w:rsidRPr="00D25E97" w:rsidRDefault="001E6FD0" w:rsidP="00C62D4F">
      <w:pPr>
        <w:pStyle w:val="FootnoteText"/>
        <w:rPr>
          <w:sz w:val="18"/>
        </w:rPr>
      </w:pPr>
      <w:r w:rsidRPr="00D25E97">
        <w:rPr>
          <w:rStyle w:val="FootnoteReference"/>
          <w:sz w:val="18"/>
        </w:rPr>
        <w:footnoteRef/>
      </w:r>
      <w:r w:rsidRPr="00D25E97">
        <w:rPr>
          <w:sz w:val="18"/>
        </w:rPr>
        <w:t xml:space="preserve"> Podaci</w:t>
      </w:r>
      <w:r>
        <w:rPr>
          <w:sz w:val="18"/>
        </w:rPr>
        <w:t xml:space="preserve"> općinske</w:t>
      </w:r>
      <w:r w:rsidRPr="00D25E97">
        <w:rPr>
          <w:sz w:val="18"/>
        </w:rPr>
        <w:t xml:space="preserve"> Služb</w:t>
      </w:r>
      <w:r>
        <w:rPr>
          <w:sz w:val="18"/>
        </w:rPr>
        <w:t>e</w:t>
      </w:r>
      <w:r w:rsidRPr="00D25E97">
        <w:rPr>
          <w:sz w:val="18"/>
        </w:rPr>
        <w:t xml:space="preserve"> za prostorno planiranje i građenje i komunalne poslove</w:t>
      </w:r>
      <w:r>
        <w:rPr>
          <w:sz w:val="18"/>
        </w:rPr>
        <w:t>, 2017.g.</w:t>
      </w:r>
    </w:p>
  </w:footnote>
  <w:footnote w:id="47">
    <w:p w:rsidR="001E6FD0" w:rsidRPr="00D25E97" w:rsidRDefault="001E6FD0" w:rsidP="0073395E">
      <w:pPr>
        <w:pStyle w:val="FootnoteText"/>
        <w:rPr>
          <w:sz w:val="18"/>
        </w:rPr>
      </w:pPr>
      <w:r w:rsidRPr="00D25E97">
        <w:rPr>
          <w:rStyle w:val="FootnoteReference"/>
          <w:sz w:val="18"/>
        </w:rPr>
        <w:footnoteRef/>
      </w:r>
      <w:r w:rsidRPr="00D25E97">
        <w:rPr>
          <w:sz w:val="18"/>
        </w:rPr>
        <w:t xml:space="preserve"> </w:t>
      </w:r>
      <w:r>
        <w:rPr>
          <w:sz w:val="18"/>
        </w:rPr>
        <w:t>Podaci općinske</w:t>
      </w:r>
      <w:r w:rsidRPr="00D25E97">
        <w:rPr>
          <w:sz w:val="18"/>
        </w:rPr>
        <w:t xml:space="preserve"> Služb</w:t>
      </w:r>
      <w:r>
        <w:rPr>
          <w:sz w:val="18"/>
        </w:rPr>
        <w:t>e</w:t>
      </w:r>
      <w:r w:rsidRPr="00D25E97">
        <w:rPr>
          <w:sz w:val="18"/>
        </w:rPr>
        <w:t xml:space="preserve"> za prostorno planiranje</w:t>
      </w:r>
      <w:r>
        <w:rPr>
          <w:sz w:val="18"/>
        </w:rPr>
        <w:t xml:space="preserve"> i građenje i komunalne poslove</w:t>
      </w:r>
    </w:p>
  </w:footnote>
  <w:footnote w:id="48">
    <w:p w:rsidR="001E6FD0" w:rsidRPr="00D25E97" w:rsidRDefault="001E6FD0" w:rsidP="006968F5">
      <w:pPr>
        <w:pStyle w:val="FootnoteText"/>
        <w:rPr>
          <w:sz w:val="18"/>
          <w:szCs w:val="18"/>
          <w:lang w:val="hr-HR"/>
        </w:rPr>
      </w:pPr>
      <w:r w:rsidRPr="00D25E97">
        <w:rPr>
          <w:rStyle w:val="FootnoteReference"/>
          <w:sz w:val="18"/>
          <w:szCs w:val="18"/>
        </w:rPr>
        <w:footnoteRef/>
      </w:r>
      <w:r w:rsidRPr="00D25E97">
        <w:rPr>
          <w:sz w:val="18"/>
          <w:szCs w:val="18"/>
          <w:lang w:val="hr-HR"/>
        </w:rPr>
        <w:t xml:space="preserve"> Pored kategoriziranih puteva, općina Kalesija ima i razvijenu mrežu nekategoriziranih puteva, od kojih je većina asfaltirana.</w:t>
      </w:r>
    </w:p>
  </w:footnote>
  <w:footnote w:id="49">
    <w:p w:rsidR="001E6FD0" w:rsidRPr="00D25E97" w:rsidRDefault="001E6FD0" w:rsidP="00312E7A">
      <w:pPr>
        <w:pStyle w:val="FootnoteText"/>
        <w:pageBreakBefore/>
        <w:rPr>
          <w:sz w:val="18"/>
        </w:rPr>
      </w:pPr>
      <w:r w:rsidRPr="00D25E97">
        <w:rPr>
          <w:rStyle w:val="FootnoteReference"/>
          <w:sz w:val="18"/>
        </w:rPr>
        <w:footnoteRef/>
      </w:r>
      <w:r w:rsidRPr="00D25E97">
        <w:rPr>
          <w:sz w:val="18"/>
        </w:rPr>
        <w:t xml:space="preserve"> Zakon o cestama Federacije Bosne </w:t>
      </w:r>
      <w:r w:rsidRPr="00D25E97">
        <w:rPr>
          <w:sz w:val="18"/>
          <w:lang w:eastAsia="ar-SA"/>
        </w:rPr>
        <w:t>I</w:t>
      </w:r>
      <w:r w:rsidRPr="00D25E97">
        <w:rPr>
          <w:sz w:val="18"/>
        </w:rPr>
        <w:t xml:space="preserve"> Hercegovine (''Sl.novine Federacije BIH'', br.12/10, 16/10 </w:t>
      </w:r>
      <w:r w:rsidRPr="00D25E97">
        <w:rPr>
          <w:sz w:val="18"/>
          <w:lang w:eastAsia="ar-SA"/>
        </w:rPr>
        <w:t>I</w:t>
      </w:r>
      <w:r w:rsidRPr="00D25E97">
        <w:rPr>
          <w:sz w:val="18"/>
        </w:rPr>
        <w:t xml:space="preserve"> 66/13)</w:t>
      </w:r>
    </w:p>
  </w:footnote>
  <w:footnote w:id="50">
    <w:p w:rsidR="001E6FD0" w:rsidRPr="00D25E97" w:rsidRDefault="001E6FD0" w:rsidP="00C05B70">
      <w:pPr>
        <w:pStyle w:val="FootnoteText"/>
        <w:rPr>
          <w:sz w:val="18"/>
        </w:rPr>
      </w:pPr>
      <w:r w:rsidRPr="00D25E97">
        <w:rPr>
          <w:rStyle w:val="FootnoteReference"/>
          <w:sz w:val="18"/>
        </w:rPr>
        <w:footnoteRef/>
      </w:r>
      <w:r w:rsidRPr="00D25E97">
        <w:rPr>
          <w:sz w:val="18"/>
        </w:rPr>
        <w:t xml:space="preserve"> Podaci – Služba za prostorno planiranje i građenje i komunalne poslove</w:t>
      </w:r>
    </w:p>
  </w:footnote>
  <w:footnote w:id="51">
    <w:p w:rsidR="001E6FD0" w:rsidRDefault="001E6FD0">
      <w:pPr>
        <w:pStyle w:val="FootnoteText"/>
      </w:pPr>
      <w:r w:rsidRPr="00B751FD">
        <w:rPr>
          <w:rStyle w:val="FootnoteReference"/>
          <w:sz w:val="18"/>
        </w:rPr>
        <w:footnoteRef/>
      </w:r>
      <w:r w:rsidRPr="00B751FD">
        <w:rPr>
          <w:sz w:val="18"/>
        </w:rPr>
        <w:t xml:space="preserve"> Službeni glasnik općine Kalesija Broj: 5/07</w:t>
      </w:r>
    </w:p>
  </w:footnote>
  <w:footnote w:id="52">
    <w:p w:rsidR="001E6FD0" w:rsidRDefault="001E6FD0">
      <w:pPr>
        <w:pStyle w:val="FootnoteText"/>
      </w:pPr>
      <w:r w:rsidRPr="00617CFD">
        <w:rPr>
          <w:rStyle w:val="FootnoteReference"/>
          <w:sz w:val="18"/>
        </w:rPr>
        <w:footnoteRef/>
      </w:r>
      <w:r w:rsidRPr="00617CFD">
        <w:rPr>
          <w:sz w:val="18"/>
        </w:rPr>
        <w:t xml:space="preserve"> Službene novine Federacije Bosne i Hercegovin</w:t>
      </w:r>
      <w:r>
        <w:rPr>
          <w:sz w:val="18"/>
        </w:rPr>
        <w:t>e</w:t>
      </w:r>
      <w:r w:rsidRPr="00617CFD">
        <w:rPr>
          <w:sz w:val="18"/>
        </w:rPr>
        <w:t>, broj 39/03, 22/06 i 43/10</w:t>
      </w:r>
    </w:p>
  </w:footnote>
  <w:footnote w:id="53">
    <w:p w:rsidR="001E6FD0" w:rsidRDefault="001E6FD0">
      <w:pPr>
        <w:pStyle w:val="FootnoteText"/>
      </w:pPr>
      <w:r w:rsidRPr="00372DF9">
        <w:rPr>
          <w:rStyle w:val="FootnoteReference"/>
          <w:sz w:val="18"/>
        </w:rPr>
        <w:footnoteRef/>
      </w:r>
      <w:r w:rsidRPr="00372DF9">
        <w:rPr>
          <w:sz w:val="18"/>
        </w:rPr>
        <w:t xml:space="preserve"> Službene novine TK,</w:t>
      </w:r>
      <w:r>
        <w:rPr>
          <w:sz w:val="18"/>
        </w:rPr>
        <w:t xml:space="preserve"> b</w:t>
      </w:r>
      <w:r w:rsidRPr="00372DF9">
        <w:rPr>
          <w:sz w:val="18"/>
        </w:rPr>
        <w:t>roj 10/08</w:t>
      </w:r>
    </w:p>
  </w:footnote>
  <w:footnote w:id="54">
    <w:p w:rsidR="001E6FD0" w:rsidRPr="00D25E97" w:rsidRDefault="001E6FD0">
      <w:pPr>
        <w:pStyle w:val="FootnoteText"/>
        <w:rPr>
          <w:sz w:val="18"/>
        </w:rPr>
      </w:pPr>
      <w:r w:rsidRPr="00D25E97">
        <w:rPr>
          <w:rStyle w:val="FootnoteReference"/>
          <w:sz w:val="18"/>
        </w:rPr>
        <w:footnoteRef/>
      </w:r>
      <w:r>
        <w:rPr>
          <w:sz w:val="18"/>
        </w:rPr>
        <w:t xml:space="preserve"> </w:t>
      </w:r>
      <w:r w:rsidRPr="00D25E97">
        <w:rPr>
          <w:sz w:val="18"/>
        </w:rPr>
        <w:t>Rješenje o utvrđivanju broja i jačine štabova službi zaštite i spašašavanja i jedinica civilne zaštite na području općine kalesija broj:02/5-44-15/08</w:t>
      </w:r>
    </w:p>
  </w:footnote>
  <w:footnote w:id="55">
    <w:p w:rsidR="001E6FD0" w:rsidRPr="00D25E97" w:rsidRDefault="001E6FD0">
      <w:pPr>
        <w:pStyle w:val="FootnoteText"/>
        <w:rPr>
          <w:sz w:val="18"/>
        </w:rPr>
      </w:pPr>
      <w:r w:rsidRPr="00D25E97">
        <w:rPr>
          <w:rStyle w:val="FootnoteReference"/>
          <w:sz w:val="18"/>
        </w:rPr>
        <w:footnoteRef/>
      </w:r>
      <w:r w:rsidRPr="00D25E97">
        <w:rPr>
          <w:sz w:val="18"/>
        </w:rPr>
        <w:t xml:space="preserve"> Izvor: Budžet općine Kalesija, 2014, 2015, 2016.godina</w:t>
      </w:r>
    </w:p>
  </w:footnote>
  <w:footnote w:id="56">
    <w:p w:rsidR="001E6FD0" w:rsidRPr="00D25E97" w:rsidRDefault="001E6FD0" w:rsidP="008109BA">
      <w:pPr>
        <w:pStyle w:val="FootnoteText"/>
        <w:pageBreakBefore/>
        <w:rPr>
          <w:sz w:val="18"/>
        </w:rPr>
      </w:pPr>
      <w:r w:rsidRPr="00D25E97">
        <w:rPr>
          <w:rStyle w:val="FootnoteReference"/>
          <w:sz w:val="18"/>
        </w:rPr>
        <w:footnoteRef/>
      </w:r>
      <w:r w:rsidRPr="00D25E97">
        <w:rPr>
          <w:sz w:val="18"/>
        </w:rPr>
        <w:t xml:space="preserve"> Plan upravljanja otpadom 2012-2017 (''Sl.glasnik općine Kalesija'', br 4/13)</w:t>
      </w:r>
    </w:p>
  </w:footnote>
  <w:footnote w:id="57">
    <w:p w:rsidR="001E6FD0" w:rsidRPr="00D25E97" w:rsidRDefault="001E6FD0" w:rsidP="008109BA">
      <w:pPr>
        <w:pStyle w:val="FootnoteText"/>
        <w:pageBreakBefore/>
        <w:rPr>
          <w:sz w:val="18"/>
        </w:rPr>
      </w:pPr>
      <w:r w:rsidRPr="00D25E97">
        <w:rPr>
          <w:rStyle w:val="FootnoteReference"/>
          <w:sz w:val="18"/>
        </w:rPr>
        <w:footnoteRef/>
      </w:r>
      <w:r w:rsidRPr="00D25E97">
        <w:rPr>
          <w:sz w:val="18"/>
        </w:rPr>
        <w:t xml:space="preserve"> Odluka o obaveznom prikupljanju </w:t>
      </w:r>
      <w:r w:rsidRPr="00D25E97">
        <w:rPr>
          <w:sz w:val="18"/>
          <w:lang w:eastAsia="ar-SA"/>
        </w:rPr>
        <w:t>I</w:t>
      </w:r>
      <w:r w:rsidRPr="00D25E97">
        <w:rPr>
          <w:sz w:val="18"/>
        </w:rPr>
        <w:t xml:space="preserve"> odvozu otpada na području općine Kalesija  (''Sl.glasnik općine Kalesija'', br 6/13)</w:t>
      </w:r>
    </w:p>
  </w:footnote>
  <w:footnote w:id="58">
    <w:p w:rsidR="001E6FD0" w:rsidRPr="00D25E97" w:rsidRDefault="001E6FD0" w:rsidP="00FF707A">
      <w:pPr>
        <w:pStyle w:val="FootnoteText"/>
        <w:rPr>
          <w:sz w:val="18"/>
          <w:lang w:val="hr-HR"/>
        </w:rPr>
      </w:pPr>
      <w:r w:rsidRPr="00D25E97">
        <w:rPr>
          <w:rStyle w:val="FootnoteReference"/>
          <w:sz w:val="18"/>
        </w:rPr>
        <w:footnoteRef/>
      </w:r>
      <w:r w:rsidRPr="00D25E97">
        <w:rPr>
          <w:sz w:val="18"/>
        </w:rPr>
        <w:t xml:space="preserve"> Odluka o komunalnom redu   (''Sl.glasnik općine Kalesija'', br 7/01, 5/09 i</w:t>
      </w:r>
      <w:r w:rsidRPr="00D25E97">
        <w:rPr>
          <w:sz w:val="18"/>
          <w:lang w:eastAsia="ar-SA"/>
        </w:rPr>
        <w:t xml:space="preserve"> 6/17</w:t>
      </w:r>
      <w:r w:rsidRPr="00D25E97">
        <w:rPr>
          <w:sz w:val="18"/>
        </w:rPr>
        <w:t>)</w:t>
      </w:r>
    </w:p>
  </w:footnote>
  <w:footnote w:id="59">
    <w:p w:rsidR="001E6FD0" w:rsidRPr="00D25E97" w:rsidRDefault="001E6FD0" w:rsidP="008109BA">
      <w:pPr>
        <w:pStyle w:val="FootnoteText"/>
        <w:pageBreakBefore/>
        <w:rPr>
          <w:sz w:val="18"/>
        </w:rPr>
      </w:pPr>
      <w:r w:rsidRPr="00D25E97">
        <w:rPr>
          <w:rStyle w:val="FootnoteReference"/>
          <w:sz w:val="18"/>
        </w:rPr>
        <w:footnoteRef/>
      </w:r>
      <w:r w:rsidRPr="00D25E97">
        <w:rPr>
          <w:sz w:val="18"/>
        </w:rPr>
        <w:t xml:space="preserve"> Odluka o davanju saglasnosti na Odluku o visini naknade za deponovanje čvrstog komunalnog otpada   (''Sl.glasnik općine Kalesija'', br 2/16) </w:t>
      </w:r>
    </w:p>
  </w:footnote>
  <w:footnote w:id="60">
    <w:p w:rsidR="001E6FD0" w:rsidRDefault="001E6FD0">
      <w:pPr>
        <w:pStyle w:val="FootnoteText"/>
      </w:pPr>
      <w:r>
        <w:rPr>
          <w:rStyle w:val="FootnoteReference"/>
        </w:rPr>
        <w:footnoteRef/>
      </w:r>
      <w:r>
        <w:t xml:space="preserve"> Iznos je </w:t>
      </w:r>
      <w:r w:rsidRPr="00A95A2B">
        <w:t>uvećan u odnosu na rebalans budžeta za 2016. godinu za 11,49% zbog ostvarenja grantova od viših nivoa vlasti u 2016. godini,i prenesenih sredstava iz 2016.godine koji se nisu mogli planirati u 2016. godini</w:t>
      </w:r>
    </w:p>
  </w:footnote>
  <w:footnote w:id="61">
    <w:p w:rsidR="001E6FD0" w:rsidRPr="008378CE" w:rsidRDefault="001E6FD0" w:rsidP="00EA228B">
      <w:pPr>
        <w:pStyle w:val="FootnoteText"/>
        <w:rPr>
          <w:sz w:val="18"/>
          <w:szCs w:val="18"/>
        </w:rPr>
      </w:pPr>
      <w:r w:rsidRPr="008378CE">
        <w:rPr>
          <w:rStyle w:val="FootnoteReference"/>
          <w:sz w:val="18"/>
          <w:szCs w:val="18"/>
        </w:rPr>
        <w:footnoteRef/>
      </w:r>
      <w:r w:rsidRPr="008378CE">
        <w:rPr>
          <w:sz w:val="18"/>
          <w:szCs w:val="18"/>
        </w:rPr>
        <w:t xml:space="preserve"> SWOT je akronim engleskih riječi: Strengths (snage), Weaknesses (slabosti), Opportunities (prilike) i Threats (prijetnje)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7"/>
    <w:lvl w:ilvl="0">
      <w:start w:val="1"/>
      <w:numFmt w:val="bullet"/>
      <w:lvlText w:val=""/>
      <w:lvlJc w:val="left"/>
      <w:pPr>
        <w:tabs>
          <w:tab w:val="num" w:pos="0"/>
        </w:tabs>
        <w:ind w:left="765" w:hanging="360"/>
      </w:pPr>
      <w:rPr>
        <w:rFonts w:ascii="Symbol" w:hAnsi="Symbol" w:cs="Symbol"/>
      </w:rPr>
    </w:lvl>
    <w:lvl w:ilvl="1">
      <w:start w:val="1"/>
      <w:numFmt w:val="bullet"/>
      <w:lvlText w:val="o"/>
      <w:lvlJc w:val="left"/>
      <w:pPr>
        <w:tabs>
          <w:tab w:val="num" w:pos="0"/>
        </w:tabs>
        <w:ind w:left="1485" w:hanging="360"/>
      </w:pPr>
      <w:rPr>
        <w:rFonts w:ascii="Courier New" w:hAnsi="Courier New" w:cs="Courier New"/>
      </w:rPr>
    </w:lvl>
    <w:lvl w:ilvl="2">
      <w:start w:val="1"/>
      <w:numFmt w:val="bullet"/>
      <w:lvlText w:val=""/>
      <w:lvlJc w:val="left"/>
      <w:pPr>
        <w:tabs>
          <w:tab w:val="num" w:pos="0"/>
        </w:tabs>
        <w:ind w:left="2205" w:hanging="360"/>
      </w:pPr>
      <w:rPr>
        <w:rFonts w:ascii="Wingdings" w:hAnsi="Wingdings" w:cs="Wingdings"/>
      </w:rPr>
    </w:lvl>
    <w:lvl w:ilvl="3">
      <w:start w:val="1"/>
      <w:numFmt w:val="bullet"/>
      <w:lvlText w:val=""/>
      <w:lvlJc w:val="left"/>
      <w:pPr>
        <w:tabs>
          <w:tab w:val="num" w:pos="0"/>
        </w:tabs>
        <w:ind w:left="2925" w:hanging="360"/>
      </w:pPr>
      <w:rPr>
        <w:rFonts w:ascii="Symbol" w:hAnsi="Symbol" w:cs="Symbol"/>
      </w:rPr>
    </w:lvl>
    <w:lvl w:ilvl="4">
      <w:start w:val="1"/>
      <w:numFmt w:val="bullet"/>
      <w:lvlText w:val="o"/>
      <w:lvlJc w:val="left"/>
      <w:pPr>
        <w:tabs>
          <w:tab w:val="num" w:pos="0"/>
        </w:tabs>
        <w:ind w:left="3645" w:hanging="360"/>
      </w:pPr>
      <w:rPr>
        <w:rFonts w:ascii="Courier New" w:hAnsi="Courier New" w:cs="Courier New"/>
      </w:rPr>
    </w:lvl>
    <w:lvl w:ilvl="5">
      <w:start w:val="1"/>
      <w:numFmt w:val="bullet"/>
      <w:lvlText w:val=""/>
      <w:lvlJc w:val="left"/>
      <w:pPr>
        <w:tabs>
          <w:tab w:val="num" w:pos="0"/>
        </w:tabs>
        <w:ind w:left="4365" w:hanging="360"/>
      </w:pPr>
      <w:rPr>
        <w:rFonts w:ascii="Wingdings" w:hAnsi="Wingdings" w:cs="Wingdings"/>
      </w:rPr>
    </w:lvl>
    <w:lvl w:ilvl="6">
      <w:start w:val="1"/>
      <w:numFmt w:val="bullet"/>
      <w:lvlText w:val=""/>
      <w:lvlJc w:val="left"/>
      <w:pPr>
        <w:tabs>
          <w:tab w:val="num" w:pos="0"/>
        </w:tabs>
        <w:ind w:left="5085" w:hanging="360"/>
      </w:pPr>
      <w:rPr>
        <w:rFonts w:ascii="Symbol" w:hAnsi="Symbol" w:cs="Symbol"/>
      </w:rPr>
    </w:lvl>
    <w:lvl w:ilvl="7">
      <w:start w:val="1"/>
      <w:numFmt w:val="bullet"/>
      <w:lvlText w:val="o"/>
      <w:lvlJc w:val="left"/>
      <w:pPr>
        <w:tabs>
          <w:tab w:val="num" w:pos="0"/>
        </w:tabs>
        <w:ind w:left="5805" w:hanging="360"/>
      </w:pPr>
      <w:rPr>
        <w:rFonts w:ascii="Courier New" w:hAnsi="Courier New" w:cs="Courier New"/>
      </w:rPr>
    </w:lvl>
    <w:lvl w:ilvl="8">
      <w:start w:val="1"/>
      <w:numFmt w:val="bullet"/>
      <w:lvlText w:val=""/>
      <w:lvlJc w:val="left"/>
      <w:pPr>
        <w:tabs>
          <w:tab w:val="num" w:pos="0"/>
        </w:tabs>
        <w:ind w:left="6525" w:hanging="360"/>
      </w:pPr>
      <w:rPr>
        <w:rFonts w:ascii="Wingdings" w:hAnsi="Wingdings" w:cs="Wingdings"/>
      </w:rPr>
    </w:lvl>
  </w:abstractNum>
  <w:abstractNum w:abstractNumId="1">
    <w:nsid w:val="00000006"/>
    <w:multiLevelType w:val="singleLevel"/>
    <w:tmpl w:val="00000006"/>
    <w:name w:val="WW8Num11"/>
    <w:lvl w:ilvl="0">
      <w:start w:val="1"/>
      <w:numFmt w:val="bullet"/>
      <w:lvlText w:val=""/>
      <w:lvlJc w:val="left"/>
      <w:pPr>
        <w:tabs>
          <w:tab w:val="num" w:pos="0"/>
        </w:tabs>
        <w:ind w:left="720" w:hanging="360"/>
      </w:pPr>
      <w:rPr>
        <w:rFonts w:ascii="Wingdings" w:hAnsi="Wingdings" w:cs="Wingdings" w:hint="default"/>
        <w:sz w:val="22"/>
        <w:szCs w:val="22"/>
      </w:rPr>
    </w:lvl>
  </w:abstractNum>
  <w:abstractNum w:abstractNumId="2">
    <w:nsid w:val="0000001A"/>
    <w:multiLevelType w:val="multilevel"/>
    <w:tmpl w:val="0000001A"/>
    <w:name w:val="WWNum29"/>
    <w:lvl w:ilvl="0">
      <w:start w:val="1"/>
      <w:numFmt w:val="bullet"/>
      <w:lvlText w:val=""/>
      <w:lvlJc w:val="left"/>
      <w:pPr>
        <w:tabs>
          <w:tab w:val="num" w:pos="0"/>
        </w:tabs>
        <w:ind w:left="765" w:hanging="360"/>
      </w:pPr>
      <w:rPr>
        <w:rFonts w:ascii="Symbol" w:hAnsi="Symbol" w:cs="Symbol"/>
        <w:color w:val="008000"/>
        <w:sz w:val="22"/>
        <w:szCs w:val="22"/>
      </w:rPr>
    </w:lvl>
    <w:lvl w:ilvl="1">
      <w:start w:val="1"/>
      <w:numFmt w:val="bullet"/>
      <w:lvlText w:val="o"/>
      <w:lvlJc w:val="left"/>
      <w:pPr>
        <w:tabs>
          <w:tab w:val="num" w:pos="0"/>
        </w:tabs>
        <w:ind w:left="1485" w:hanging="360"/>
      </w:pPr>
      <w:rPr>
        <w:rFonts w:ascii="Courier New" w:hAnsi="Courier New" w:cs="Courier New"/>
      </w:rPr>
    </w:lvl>
    <w:lvl w:ilvl="2">
      <w:start w:val="1"/>
      <w:numFmt w:val="bullet"/>
      <w:lvlText w:val=""/>
      <w:lvlJc w:val="left"/>
      <w:pPr>
        <w:tabs>
          <w:tab w:val="num" w:pos="0"/>
        </w:tabs>
        <w:ind w:left="2205" w:hanging="360"/>
      </w:pPr>
      <w:rPr>
        <w:rFonts w:ascii="Wingdings" w:hAnsi="Wingdings" w:cs="Wingdings"/>
      </w:rPr>
    </w:lvl>
    <w:lvl w:ilvl="3">
      <w:start w:val="1"/>
      <w:numFmt w:val="bullet"/>
      <w:lvlText w:val=""/>
      <w:lvlJc w:val="left"/>
      <w:pPr>
        <w:tabs>
          <w:tab w:val="num" w:pos="0"/>
        </w:tabs>
        <w:ind w:left="2925" w:hanging="360"/>
      </w:pPr>
      <w:rPr>
        <w:rFonts w:ascii="Symbol" w:hAnsi="Symbol" w:cs="Symbol"/>
        <w:color w:val="008000"/>
        <w:sz w:val="22"/>
        <w:szCs w:val="22"/>
      </w:rPr>
    </w:lvl>
    <w:lvl w:ilvl="4">
      <w:start w:val="1"/>
      <w:numFmt w:val="bullet"/>
      <w:lvlText w:val="o"/>
      <w:lvlJc w:val="left"/>
      <w:pPr>
        <w:tabs>
          <w:tab w:val="num" w:pos="0"/>
        </w:tabs>
        <w:ind w:left="3645" w:hanging="360"/>
      </w:pPr>
      <w:rPr>
        <w:rFonts w:ascii="Courier New" w:hAnsi="Courier New" w:cs="Courier New"/>
      </w:rPr>
    </w:lvl>
    <w:lvl w:ilvl="5">
      <w:start w:val="1"/>
      <w:numFmt w:val="bullet"/>
      <w:lvlText w:val=""/>
      <w:lvlJc w:val="left"/>
      <w:pPr>
        <w:tabs>
          <w:tab w:val="num" w:pos="0"/>
        </w:tabs>
        <w:ind w:left="4365" w:hanging="360"/>
      </w:pPr>
      <w:rPr>
        <w:rFonts w:ascii="Wingdings" w:hAnsi="Wingdings" w:cs="Wingdings"/>
      </w:rPr>
    </w:lvl>
    <w:lvl w:ilvl="6">
      <w:start w:val="1"/>
      <w:numFmt w:val="bullet"/>
      <w:lvlText w:val=""/>
      <w:lvlJc w:val="left"/>
      <w:pPr>
        <w:tabs>
          <w:tab w:val="num" w:pos="0"/>
        </w:tabs>
        <w:ind w:left="5085" w:hanging="360"/>
      </w:pPr>
      <w:rPr>
        <w:rFonts w:ascii="Symbol" w:hAnsi="Symbol" w:cs="Symbol"/>
        <w:color w:val="008000"/>
        <w:sz w:val="22"/>
        <w:szCs w:val="22"/>
      </w:rPr>
    </w:lvl>
    <w:lvl w:ilvl="7">
      <w:start w:val="1"/>
      <w:numFmt w:val="bullet"/>
      <w:lvlText w:val="o"/>
      <w:lvlJc w:val="left"/>
      <w:pPr>
        <w:tabs>
          <w:tab w:val="num" w:pos="0"/>
        </w:tabs>
        <w:ind w:left="5805" w:hanging="360"/>
      </w:pPr>
      <w:rPr>
        <w:rFonts w:ascii="Courier New" w:hAnsi="Courier New" w:cs="Courier New"/>
      </w:rPr>
    </w:lvl>
    <w:lvl w:ilvl="8">
      <w:start w:val="1"/>
      <w:numFmt w:val="bullet"/>
      <w:lvlText w:val=""/>
      <w:lvlJc w:val="left"/>
      <w:pPr>
        <w:tabs>
          <w:tab w:val="num" w:pos="0"/>
        </w:tabs>
        <w:ind w:left="6525" w:hanging="360"/>
      </w:pPr>
      <w:rPr>
        <w:rFonts w:ascii="Wingdings" w:hAnsi="Wingdings" w:cs="Wingdings"/>
      </w:rPr>
    </w:lvl>
  </w:abstractNum>
  <w:abstractNum w:abstractNumId="3">
    <w:nsid w:val="0000003D"/>
    <w:multiLevelType w:val="multilevel"/>
    <w:tmpl w:val="0000003D"/>
    <w:name w:val="WW8Num61"/>
    <w:lvl w:ilvl="0">
      <w:start w:val="1"/>
      <w:numFmt w:val="bullet"/>
      <w:lvlText w:val=""/>
      <w:lvlJc w:val="left"/>
      <w:pPr>
        <w:tabs>
          <w:tab w:val="num" w:pos="0"/>
        </w:tabs>
        <w:ind w:left="720" w:hanging="360"/>
      </w:pPr>
      <w:rPr>
        <w:rFonts w:ascii="Symbol" w:hAnsi="Symbol" w:cs="Symbol"/>
        <w:color w:val="008000"/>
        <w:sz w:val="22"/>
        <w:szCs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8000"/>
        <w:sz w:val="22"/>
        <w:szCs w:val="22"/>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8000"/>
        <w:sz w:val="22"/>
        <w:szCs w:val="22"/>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3E"/>
    <w:multiLevelType w:val="multilevel"/>
    <w:tmpl w:val="0000003E"/>
    <w:name w:val="WW8Num62"/>
    <w:lvl w:ilvl="0">
      <w:start w:val="1"/>
      <w:numFmt w:val="bullet"/>
      <w:lvlText w:val=""/>
      <w:lvlJc w:val="left"/>
      <w:pPr>
        <w:tabs>
          <w:tab w:val="num" w:pos="0"/>
        </w:tabs>
        <w:ind w:left="765" w:hanging="360"/>
      </w:pPr>
      <w:rPr>
        <w:rFonts w:ascii="Symbol" w:hAnsi="Symbol" w:cs="Symbol"/>
        <w:color w:val="008000"/>
        <w:sz w:val="22"/>
        <w:szCs w:val="22"/>
      </w:rPr>
    </w:lvl>
    <w:lvl w:ilvl="1">
      <w:start w:val="1"/>
      <w:numFmt w:val="bullet"/>
      <w:lvlText w:val="o"/>
      <w:lvlJc w:val="left"/>
      <w:pPr>
        <w:tabs>
          <w:tab w:val="num" w:pos="0"/>
        </w:tabs>
        <w:ind w:left="1485" w:hanging="360"/>
      </w:pPr>
      <w:rPr>
        <w:rFonts w:ascii="Courier New" w:hAnsi="Courier New" w:cs="Courier New"/>
      </w:rPr>
    </w:lvl>
    <w:lvl w:ilvl="2">
      <w:start w:val="1"/>
      <w:numFmt w:val="bullet"/>
      <w:lvlText w:val=""/>
      <w:lvlJc w:val="left"/>
      <w:pPr>
        <w:tabs>
          <w:tab w:val="num" w:pos="0"/>
        </w:tabs>
        <w:ind w:left="2205" w:hanging="360"/>
      </w:pPr>
      <w:rPr>
        <w:rFonts w:ascii="Wingdings" w:hAnsi="Wingdings" w:cs="Wingdings"/>
      </w:rPr>
    </w:lvl>
    <w:lvl w:ilvl="3">
      <w:start w:val="1"/>
      <w:numFmt w:val="bullet"/>
      <w:lvlText w:val=""/>
      <w:lvlJc w:val="left"/>
      <w:pPr>
        <w:tabs>
          <w:tab w:val="num" w:pos="0"/>
        </w:tabs>
        <w:ind w:left="2925" w:hanging="360"/>
      </w:pPr>
      <w:rPr>
        <w:rFonts w:ascii="Symbol" w:hAnsi="Symbol" w:cs="Symbol"/>
        <w:color w:val="008000"/>
        <w:sz w:val="22"/>
        <w:szCs w:val="22"/>
      </w:rPr>
    </w:lvl>
    <w:lvl w:ilvl="4">
      <w:start w:val="1"/>
      <w:numFmt w:val="bullet"/>
      <w:lvlText w:val="o"/>
      <w:lvlJc w:val="left"/>
      <w:pPr>
        <w:tabs>
          <w:tab w:val="num" w:pos="0"/>
        </w:tabs>
        <w:ind w:left="3645" w:hanging="360"/>
      </w:pPr>
      <w:rPr>
        <w:rFonts w:ascii="Courier New" w:hAnsi="Courier New" w:cs="Courier New"/>
      </w:rPr>
    </w:lvl>
    <w:lvl w:ilvl="5">
      <w:start w:val="1"/>
      <w:numFmt w:val="bullet"/>
      <w:lvlText w:val=""/>
      <w:lvlJc w:val="left"/>
      <w:pPr>
        <w:tabs>
          <w:tab w:val="num" w:pos="0"/>
        </w:tabs>
        <w:ind w:left="4365" w:hanging="360"/>
      </w:pPr>
      <w:rPr>
        <w:rFonts w:ascii="Wingdings" w:hAnsi="Wingdings" w:cs="Wingdings"/>
      </w:rPr>
    </w:lvl>
    <w:lvl w:ilvl="6">
      <w:start w:val="1"/>
      <w:numFmt w:val="bullet"/>
      <w:lvlText w:val=""/>
      <w:lvlJc w:val="left"/>
      <w:pPr>
        <w:tabs>
          <w:tab w:val="num" w:pos="0"/>
        </w:tabs>
        <w:ind w:left="5085" w:hanging="360"/>
      </w:pPr>
      <w:rPr>
        <w:rFonts w:ascii="Symbol" w:hAnsi="Symbol" w:cs="Symbol"/>
        <w:color w:val="008000"/>
        <w:sz w:val="22"/>
        <w:szCs w:val="22"/>
      </w:rPr>
    </w:lvl>
    <w:lvl w:ilvl="7">
      <w:start w:val="1"/>
      <w:numFmt w:val="bullet"/>
      <w:lvlText w:val="o"/>
      <w:lvlJc w:val="left"/>
      <w:pPr>
        <w:tabs>
          <w:tab w:val="num" w:pos="0"/>
        </w:tabs>
        <w:ind w:left="5805" w:hanging="360"/>
      </w:pPr>
      <w:rPr>
        <w:rFonts w:ascii="Courier New" w:hAnsi="Courier New" w:cs="Courier New"/>
      </w:rPr>
    </w:lvl>
    <w:lvl w:ilvl="8">
      <w:start w:val="1"/>
      <w:numFmt w:val="bullet"/>
      <w:lvlText w:val=""/>
      <w:lvlJc w:val="left"/>
      <w:pPr>
        <w:tabs>
          <w:tab w:val="num" w:pos="0"/>
        </w:tabs>
        <w:ind w:left="6525" w:hanging="360"/>
      </w:pPr>
      <w:rPr>
        <w:rFonts w:ascii="Wingdings" w:hAnsi="Wingdings" w:cs="Wingdings"/>
      </w:rPr>
    </w:lvl>
  </w:abstractNum>
  <w:abstractNum w:abstractNumId="5">
    <w:nsid w:val="030C135C"/>
    <w:multiLevelType w:val="multilevel"/>
    <w:tmpl w:val="BBCAB8D0"/>
    <w:lvl w:ilvl="0">
      <w:start w:val="2"/>
      <w:numFmt w:val="decimal"/>
      <w:lvlText w:val="%1."/>
      <w:lvlJc w:val="left"/>
      <w:pPr>
        <w:ind w:left="468" w:hanging="468"/>
      </w:pPr>
      <w:rPr>
        <w:rFonts w:hint="default"/>
        <w:b/>
      </w:rPr>
    </w:lvl>
    <w:lvl w:ilvl="1">
      <w:start w:val="2"/>
      <w:numFmt w:val="decimal"/>
      <w:lvlText w:val="%1.%2."/>
      <w:lvlJc w:val="left"/>
      <w:pPr>
        <w:ind w:left="468" w:hanging="46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nsid w:val="0645260B"/>
    <w:multiLevelType w:val="hybridMultilevel"/>
    <w:tmpl w:val="710A1BE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9C91C8E"/>
    <w:multiLevelType w:val="hybridMultilevel"/>
    <w:tmpl w:val="5E8EE37A"/>
    <w:lvl w:ilvl="0" w:tplc="33F00702">
      <w:start w:val="1"/>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A8C496B"/>
    <w:multiLevelType w:val="hybridMultilevel"/>
    <w:tmpl w:val="A76A2F2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9">
    <w:nsid w:val="0ED830D0"/>
    <w:multiLevelType w:val="multilevel"/>
    <w:tmpl w:val="B770BF9E"/>
    <w:lvl w:ilvl="0">
      <w:start w:val="2"/>
      <w:numFmt w:val="decimal"/>
      <w:lvlText w:val="%1."/>
      <w:lvlJc w:val="left"/>
      <w:pPr>
        <w:ind w:left="468" w:hanging="468"/>
      </w:pPr>
      <w:rPr>
        <w:rFonts w:hint="default"/>
        <w:b/>
      </w:rPr>
    </w:lvl>
    <w:lvl w:ilvl="1">
      <w:start w:val="1"/>
      <w:numFmt w:val="decimal"/>
      <w:lvlText w:val="%1.%2."/>
      <w:lvlJc w:val="left"/>
      <w:pPr>
        <w:ind w:left="468" w:hanging="468"/>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0">
    <w:nsid w:val="15BF6B4A"/>
    <w:multiLevelType w:val="multilevel"/>
    <w:tmpl w:val="78C47A98"/>
    <w:lvl w:ilvl="0">
      <w:start w:val="1"/>
      <w:numFmt w:val="decimal"/>
      <w:lvlText w:val="%1."/>
      <w:lvlJc w:val="left"/>
      <w:pPr>
        <w:ind w:left="720" w:hanging="360"/>
      </w:pPr>
      <w:rPr>
        <w:rFonts w:hint="default"/>
      </w:rPr>
    </w:lvl>
    <w:lvl w:ilvl="1">
      <w:start w:val="1"/>
      <w:numFmt w:val="decimal"/>
      <w:isLgl/>
      <w:lvlText w:val="%1.%2."/>
      <w:lvlJc w:val="left"/>
      <w:pPr>
        <w:ind w:left="1950" w:hanging="1470"/>
      </w:pPr>
      <w:rPr>
        <w:rFonts w:hint="default"/>
      </w:rPr>
    </w:lvl>
    <w:lvl w:ilvl="2">
      <w:start w:val="1"/>
      <w:numFmt w:val="decimal"/>
      <w:isLgl/>
      <w:lvlText w:val="%1.%2.%3."/>
      <w:lvlJc w:val="left"/>
      <w:pPr>
        <w:ind w:left="2070" w:hanging="1470"/>
      </w:pPr>
      <w:rPr>
        <w:rFonts w:hint="default"/>
      </w:rPr>
    </w:lvl>
    <w:lvl w:ilvl="3">
      <w:start w:val="7"/>
      <w:numFmt w:val="decimal"/>
      <w:isLgl/>
      <w:lvlText w:val="%1.%2.%3.%4."/>
      <w:lvlJc w:val="left"/>
      <w:pPr>
        <w:ind w:left="2190" w:hanging="1470"/>
      </w:pPr>
      <w:rPr>
        <w:rFonts w:hint="default"/>
      </w:rPr>
    </w:lvl>
    <w:lvl w:ilvl="4">
      <w:start w:val="1"/>
      <w:numFmt w:val="decimal"/>
      <w:isLgl/>
      <w:lvlText w:val="%1.%2.%3.%4.%5."/>
      <w:lvlJc w:val="left"/>
      <w:pPr>
        <w:ind w:left="2310" w:hanging="1470"/>
      </w:pPr>
      <w:rPr>
        <w:rFonts w:hint="default"/>
      </w:rPr>
    </w:lvl>
    <w:lvl w:ilvl="5">
      <w:start w:val="1"/>
      <w:numFmt w:val="decimal"/>
      <w:isLgl/>
      <w:lvlText w:val="%1.%2.%3.%4.%5.%6."/>
      <w:lvlJc w:val="left"/>
      <w:pPr>
        <w:ind w:left="2430" w:hanging="1470"/>
      </w:pPr>
      <w:rPr>
        <w:rFonts w:hint="default"/>
      </w:rPr>
    </w:lvl>
    <w:lvl w:ilvl="6">
      <w:start w:val="1"/>
      <w:numFmt w:val="decimal"/>
      <w:isLgl/>
      <w:lvlText w:val="%1.%2.%3.%4.%5.%6.%7."/>
      <w:lvlJc w:val="left"/>
      <w:pPr>
        <w:ind w:left="2550" w:hanging="1470"/>
      </w:pPr>
      <w:rPr>
        <w:rFonts w:hint="default"/>
      </w:rPr>
    </w:lvl>
    <w:lvl w:ilvl="7">
      <w:start w:val="1"/>
      <w:numFmt w:val="decimal"/>
      <w:isLgl/>
      <w:lvlText w:val="%1.%2.%3.%4.%5.%6.%7.%8."/>
      <w:lvlJc w:val="left"/>
      <w:pPr>
        <w:ind w:left="2670" w:hanging="1470"/>
      </w:pPr>
      <w:rPr>
        <w:rFonts w:hint="default"/>
      </w:rPr>
    </w:lvl>
    <w:lvl w:ilvl="8">
      <w:start w:val="1"/>
      <w:numFmt w:val="decimal"/>
      <w:isLgl/>
      <w:lvlText w:val="%1.%2.%3.%4.%5.%6.%7.%8.%9."/>
      <w:lvlJc w:val="left"/>
      <w:pPr>
        <w:ind w:left="3120" w:hanging="1800"/>
      </w:pPr>
      <w:rPr>
        <w:rFonts w:hint="default"/>
      </w:rPr>
    </w:lvl>
  </w:abstractNum>
  <w:abstractNum w:abstractNumId="11">
    <w:nsid w:val="15E07736"/>
    <w:multiLevelType w:val="hybridMultilevel"/>
    <w:tmpl w:val="C4B009E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2">
    <w:nsid w:val="17E60475"/>
    <w:multiLevelType w:val="multilevel"/>
    <w:tmpl w:val="446E9A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898297A"/>
    <w:multiLevelType w:val="hybridMultilevel"/>
    <w:tmpl w:val="7EA05704"/>
    <w:lvl w:ilvl="0" w:tplc="04090001">
      <w:start w:val="1"/>
      <w:numFmt w:val="bullet"/>
      <w:lvlText w:val=""/>
      <w:lvlJc w:val="left"/>
      <w:pPr>
        <w:tabs>
          <w:tab w:val="num" w:pos="504"/>
        </w:tabs>
        <w:ind w:left="504" w:hanging="360"/>
      </w:pPr>
      <w:rPr>
        <w:rFonts w:ascii="Symbol" w:hAnsi="Symbol" w:hint="default"/>
        <w:color w:val="auto"/>
      </w:rPr>
    </w:lvl>
    <w:lvl w:ilvl="1" w:tplc="04090003" w:tentative="1">
      <w:start w:val="1"/>
      <w:numFmt w:val="bullet"/>
      <w:lvlText w:val="o"/>
      <w:lvlJc w:val="left"/>
      <w:pPr>
        <w:tabs>
          <w:tab w:val="num" w:pos="1224"/>
        </w:tabs>
        <w:ind w:left="1224" w:hanging="360"/>
      </w:pPr>
      <w:rPr>
        <w:rFonts w:ascii="Courier New" w:hAnsi="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14">
    <w:nsid w:val="19406A85"/>
    <w:multiLevelType w:val="hybridMultilevel"/>
    <w:tmpl w:val="B7BC18B2"/>
    <w:lvl w:ilvl="0" w:tplc="0ABC3238">
      <w:start w:val="1"/>
      <w:numFmt w:val="bullet"/>
      <w:lvlText w:val=""/>
      <w:lvlJc w:val="left"/>
      <w:pPr>
        <w:ind w:left="1509" w:hanging="360"/>
      </w:pPr>
      <w:rPr>
        <w:rFonts w:ascii="Symbol" w:hAnsi="Symbol" w:hint="default"/>
        <w:color w:val="auto"/>
      </w:rPr>
    </w:lvl>
    <w:lvl w:ilvl="1" w:tplc="970AD376">
      <w:numFmt w:val="bullet"/>
      <w:lvlText w:val="·"/>
      <w:lvlJc w:val="left"/>
      <w:pPr>
        <w:ind w:left="2754" w:hanging="885"/>
      </w:pPr>
      <w:rPr>
        <w:rFonts w:ascii="Times New Roman" w:eastAsia="Calibri" w:hAnsi="Times New Roman" w:cs="Times New Roman" w:hint="default"/>
        <w:sz w:val="20"/>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15">
    <w:nsid w:val="21474ECB"/>
    <w:multiLevelType w:val="hybridMultilevel"/>
    <w:tmpl w:val="C6AA2090"/>
    <w:lvl w:ilvl="0" w:tplc="550032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43D0186"/>
    <w:multiLevelType w:val="hybridMultilevel"/>
    <w:tmpl w:val="89E47B42"/>
    <w:lvl w:ilvl="0" w:tplc="0ABC3238">
      <w:start w:val="1"/>
      <w:numFmt w:val="bullet"/>
      <w:lvlText w:val=""/>
      <w:lvlJc w:val="left"/>
      <w:pPr>
        <w:ind w:left="720" w:hanging="360"/>
      </w:pPr>
      <w:rPr>
        <w:rFonts w:ascii="Symbol" w:hAnsi="Symbol" w:hint="default"/>
        <w:color w:val="auto"/>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nsid w:val="259C1B7E"/>
    <w:multiLevelType w:val="hybridMultilevel"/>
    <w:tmpl w:val="D7EC3AD8"/>
    <w:lvl w:ilvl="0" w:tplc="0ABC3238">
      <w:start w:val="1"/>
      <w:numFmt w:val="bullet"/>
      <w:lvlText w:val=""/>
      <w:lvlJc w:val="left"/>
      <w:pPr>
        <w:ind w:left="1016" w:hanging="360"/>
      </w:pPr>
      <w:rPr>
        <w:rFonts w:ascii="Symbol" w:hAnsi="Symbol" w:hint="default"/>
        <w:color w:val="auto"/>
      </w:rPr>
    </w:lvl>
    <w:lvl w:ilvl="1" w:tplc="141A0003" w:tentative="1">
      <w:start w:val="1"/>
      <w:numFmt w:val="bullet"/>
      <w:lvlText w:val="o"/>
      <w:lvlJc w:val="left"/>
      <w:pPr>
        <w:ind w:left="1736" w:hanging="360"/>
      </w:pPr>
      <w:rPr>
        <w:rFonts w:ascii="Courier New" w:hAnsi="Courier New" w:cs="Courier New" w:hint="default"/>
      </w:rPr>
    </w:lvl>
    <w:lvl w:ilvl="2" w:tplc="141A0005" w:tentative="1">
      <w:start w:val="1"/>
      <w:numFmt w:val="bullet"/>
      <w:lvlText w:val=""/>
      <w:lvlJc w:val="left"/>
      <w:pPr>
        <w:ind w:left="2456" w:hanging="360"/>
      </w:pPr>
      <w:rPr>
        <w:rFonts w:ascii="Wingdings" w:hAnsi="Wingdings" w:hint="default"/>
      </w:rPr>
    </w:lvl>
    <w:lvl w:ilvl="3" w:tplc="141A0001" w:tentative="1">
      <w:start w:val="1"/>
      <w:numFmt w:val="bullet"/>
      <w:lvlText w:val=""/>
      <w:lvlJc w:val="left"/>
      <w:pPr>
        <w:ind w:left="3176" w:hanging="360"/>
      </w:pPr>
      <w:rPr>
        <w:rFonts w:ascii="Symbol" w:hAnsi="Symbol" w:hint="default"/>
      </w:rPr>
    </w:lvl>
    <w:lvl w:ilvl="4" w:tplc="141A0003" w:tentative="1">
      <w:start w:val="1"/>
      <w:numFmt w:val="bullet"/>
      <w:lvlText w:val="o"/>
      <w:lvlJc w:val="left"/>
      <w:pPr>
        <w:ind w:left="3896" w:hanging="360"/>
      </w:pPr>
      <w:rPr>
        <w:rFonts w:ascii="Courier New" w:hAnsi="Courier New" w:cs="Courier New" w:hint="default"/>
      </w:rPr>
    </w:lvl>
    <w:lvl w:ilvl="5" w:tplc="141A0005" w:tentative="1">
      <w:start w:val="1"/>
      <w:numFmt w:val="bullet"/>
      <w:lvlText w:val=""/>
      <w:lvlJc w:val="left"/>
      <w:pPr>
        <w:ind w:left="4616" w:hanging="360"/>
      </w:pPr>
      <w:rPr>
        <w:rFonts w:ascii="Wingdings" w:hAnsi="Wingdings" w:hint="default"/>
      </w:rPr>
    </w:lvl>
    <w:lvl w:ilvl="6" w:tplc="141A0001" w:tentative="1">
      <w:start w:val="1"/>
      <w:numFmt w:val="bullet"/>
      <w:lvlText w:val=""/>
      <w:lvlJc w:val="left"/>
      <w:pPr>
        <w:ind w:left="5336" w:hanging="360"/>
      </w:pPr>
      <w:rPr>
        <w:rFonts w:ascii="Symbol" w:hAnsi="Symbol" w:hint="default"/>
      </w:rPr>
    </w:lvl>
    <w:lvl w:ilvl="7" w:tplc="141A0003" w:tentative="1">
      <w:start w:val="1"/>
      <w:numFmt w:val="bullet"/>
      <w:lvlText w:val="o"/>
      <w:lvlJc w:val="left"/>
      <w:pPr>
        <w:ind w:left="6056" w:hanging="360"/>
      </w:pPr>
      <w:rPr>
        <w:rFonts w:ascii="Courier New" w:hAnsi="Courier New" w:cs="Courier New" w:hint="default"/>
      </w:rPr>
    </w:lvl>
    <w:lvl w:ilvl="8" w:tplc="141A0005" w:tentative="1">
      <w:start w:val="1"/>
      <w:numFmt w:val="bullet"/>
      <w:lvlText w:val=""/>
      <w:lvlJc w:val="left"/>
      <w:pPr>
        <w:ind w:left="6776" w:hanging="360"/>
      </w:pPr>
      <w:rPr>
        <w:rFonts w:ascii="Wingdings" w:hAnsi="Wingdings" w:hint="default"/>
      </w:rPr>
    </w:lvl>
  </w:abstractNum>
  <w:abstractNum w:abstractNumId="18">
    <w:nsid w:val="283A6E43"/>
    <w:multiLevelType w:val="hybridMultilevel"/>
    <w:tmpl w:val="8C922A76"/>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05">
      <w:start w:val="1"/>
      <w:numFmt w:val="bullet"/>
      <w:lvlText w:val=""/>
      <w:lvlJc w:val="left"/>
      <w:pPr>
        <w:ind w:left="1800" w:hanging="18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E3A20FE"/>
    <w:multiLevelType w:val="hybridMultilevel"/>
    <w:tmpl w:val="E3B66D10"/>
    <w:lvl w:ilvl="0" w:tplc="141A0001">
      <w:start w:val="1"/>
      <w:numFmt w:val="bullet"/>
      <w:lvlText w:val=""/>
      <w:lvlJc w:val="left"/>
      <w:pPr>
        <w:ind w:left="1380" w:hanging="360"/>
      </w:pPr>
      <w:rPr>
        <w:rFonts w:ascii="Symbol" w:hAnsi="Symbol" w:hint="default"/>
      </w:rPr>
    </w:lvl>
    <w:lvl w:ilvl="1" w:tplc="141A0003" w:tentative="1">
      <w:start w:val="1"/>
      <w:numFmt w:val="bullet"/>
      <w:lvlText w:val="o"/>
      <w:lvlJc w:val="left"/>
      <w:pPr>
        <w:ind w:left="2100" w:hanging="360"/>
      </w:pPr>
      <w:rPr>
        <w:rFonts w:ascii="Courier New" w:hAnsi="Courier New" w:cs="Courier New" w:hint="default"/>
      </w:rPr>
    </w:lvl>
    <w:lvl w:ilvl="2" w:tplc="141A0005" w:tentative="1">
      <w:start w:val="1"/>
      <w:numFmt w:val="bullet"/>
      <w:lvlText w:val=""/>
      <w:lvlJc w:val="left"/>
      <w:pPr>
        <w:ind w:left="2820" w:hanging="360"/>
      </w:pPr>
      <w:rPr>
        <w:rFonts w:ascii="Wingdings" w:hAnsi="Wingdings" w:hint="default"/>
      </w:rPr>
    </w:lvl>
    <w:lvl w:ilvl="3" w:tplc="141A0001" w:tentative="1">
      <w:start w:val="1"/>
      <w:numFmt w:val="bullet"/>
      <w:lvlText w:val=""/>
      <w:lvlJc w:val="left"/>
      <w:pPr>
        <w:ind w:left="3540" w:hanging="360"/>
      </w:pPr>
      <w:rPr>
        <w:rFonts w:ascii="Symbol" w:hAnsi="Symbol" w:hint="default"/>
      </w:rPr>
    </w:lvl>
    <w:lvl w:ilvl="4" w:tplc="141A0003" w:tentative="1">
      <w:start w:val="1"/>
      <w:numFmt w:val="bullet"/>
      <w:lvlText w:val="o"/>
      <w:lvlJc w:val="left"/>
      <w:pPr>
        <w:ind w:left="4260" w:hanging="360"/>
      </w:pPr>
      <w:rPr>
        <w:rFonts w:ascii="Courier New" w:hAnsi="Courier New" w:cs="Courier New" w:hint="default"/>
      </w:rPr>
    </w:lvl>
    <w:lvl w:ilvl="5" w:tplc="141A0005" w:tentative="1">
      <w:start w:val="1"/>
      <w:numFmt w:val="bullet"/>
      <w:lvlText w:val=""/>
      <w:lvlJc w:val="left"/>
      <w:pPr>
        <w:ind w:left="4980" w:hanging="360"/>
      </w:pPr>
      <w:rPr>
        <w:rFonts w:ascii="Wingdings" w:hAnsi="Wingdings" w:hint="default"/>
      </w:rPr>
    </w:lvl>
    <w:lvl w:ilvl="6" w:tplc="141A0001" w:tentative="1">
      <w:start w:val="1"/>
      <w:numFmt w:val="bullet"/>
      <w:lvlText w:val=""/>
      <w:lvlJc w:val="left"/>
      <w:pPr>
        <w:ind w:left="5700" w:hanging="360"/>
      </w:pPr>
      <w:rPr>
        <w:rFonts w:ascii="Symbol" w:hAnsi="Symbol" w:hint="default"/>
      </w:rPr>
    </w:lvl>
    <w:lvl w:ilvl="7" w:tplc="141A0003" w:tentative="1">
      <w:start w:val="1"/>
      <w:numFmt w:val="bullet"/>
      <w:lvlText w:val="o"/>
      <w:lvlJc w:val="left"/>
      <w:pPr>
        <w:ind w:left="6420" w:hanging="360"/>
      </w:pPr>
      <w:rPr>
        <w:rFonts w:ascii="Courier New" w:hAnsi="Courier New" w:cs="Courier New" w:hint="default"/>
      </w:rPr>
    </w:lvl>
    <w:lvl w:ilvl="8" w:tplc="141A0005" w:tentative="1">
      <w:start w:val="1"/>
      <w:numFmt w:val="bullet"/>
      <w:lvlText w:val=""/>
      <w:lvlJc w:val="left"/>
      <w:pPr>
        <w:ind w:left="7140" w:hanging="360"/>
      </w:pPr>
      <w:rPr>
        <w:rFonts w:ascii="Wingdings" w:hAnsi="Wingdings" w:hint="default"/>
      </w:rPr>
    </w:lvl>
  </w:abstractNum>
  <w:abstractNum w:abstractNumId="20">
    <w:nsid w:val="2F837BFA"/>
    <w:multiLevelType w:val="hybridMultilevel"/>
    <w:tmpl w:val="0360E1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7D3B13"/>
    <w:multiLevelType w:val="hybridMultilevel"/>
    <w:tmpl w:val="02A49EAA"/>
    <w:lvl w:ilvl="0" w:tplc="0409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2">
    <w:nsid w:val="35A96001"/>
    <w:multiLevelType w:val="hybridMultilevel"/>
    <w:tmpl w:val="5FD4B0E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nsid w:val="390C2EA9"/>
    <w:multiLevelType w:val="hybridMultilevel"/>
    <w:tmpl w:val="8CAE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287C38"/>
    <w:multiLevelType w:val="hybridMultilevel"/>
    <w:tmpl w:val="94BEE282"/>
    <w:lvl w:ilvl="0" w:tplc="0E6A438C">
      <w:numFmt w:val="bullet"/>
      <w:lvlText w:val="-"/>
      <w:lvlJc w:val="left"/>
      <w:pPr>
        <w:ind w:left="1380" w:hanging="360"/>
      </w:pPr>
      <w:rPr>
        <w:rFonts w:ascii="Times New Roman" w:eastAsia="Times New Roman" w:hAnsi="Times New Roman" w:cs="Times New Roman" w:hint="default"/>
      </w:rPr>
    </w:lvl>
    <w:lvl w:ilvl="1" w:tplc="141A0003" w:tentative="1">
      <w:start w:val="1"/>
      <w:numFmt w:val="bullet"/>
      <w:lvlText w:val="o"/>
      <w:lvlJc w:val="left"/>
      <w:pPr>
        <w:ind w:left="2100" w:hanging="360"/>
      </w:pPr>
      <w:rPr>
        <w:rFonts w:ascii="Courier New" w:hAnsi="Courier New" w:cs="Courier New" w:hint="default"/>
      </w:rPr>
    </w:lvl>
    <w:lvl w:ilvl="2" w:tplc="141A0005" w:tentative="1">
      <w:start w:val="1"/>
      <w:numFmt w:val="bullet"/>
      <w:lvlText w:val=""/>
      <w:lvlJc w:val="left"/>
      <w:pPr>
        <w:ind w:left="2820" w:hanging="360"/>
      </w:pPr>
      <w:rPr>
        <w:rFonts w:ascii="Wingdings" w:hAnsi="Wingdings" w:hint="default"/>
      </w:rPr>
    </w:lvl>
    <w:lvl w:ilvl="3" w:tplc="141A0001" w:tentative="1">
      <w:start w:val="1"/>
      <w:numFmt w:val="bullet"/>
      <w:lvlText w:val=""/>
      <w:lvlJc w:val="left"/>
      <w:pPr>
        <w:ind w:left="3540" w:hanging="360"/>
      </w:pPr>
      <w:rPr>
        <w:rFonts w:ascii="Symbol" w:hAnsi="Symbol" w:hint="default"/>
      </w:rPr>
    </w:lvl>
    <w:lvl w:ilvl="4" w:tplc="141A0003" w:tentative="1">
      <w:start w:val="1"/>
      <w:numFmt w:val="bullet"/>
      <w:lvlText w:val="o"/>
      <w:lvlJc w:val="left"/>
      <w:pPr>
        <w:ind w:left="4260" w:hanging="360"/>
      </w:pPr>
      <w:rPr>
        <w:rFonts w:ascii="Courier New" w:hAnsi="Courier New" w:cs="Courier New" w:hint="default"/>
      </w:rPr>
    </w:lvl>
    <w:lvl w:ilvl="5" w:tplc="141A0005" w:tentative="1">
      <w:start w:val="1"/>
      <w:numFmt w:val="bullet"/>
      <w:lvlText w:val=""/>
      <w:lvlJc w:val="left"/>
      <w:pPr>
        <w:ind w:left="4980" w:hanging="360"/>
      </w:pPr>
      <w:rPr>
        <w:rFonts w:ascii="Wingdings" w:hAnsi="Wingdings" w:hint="default"/>
      </w:rPr>
    </w:lvl>
    <w:lvl w:ilvl="6" w:tplc="141A0001" w:tentative="1">
      <w:start w:val="1"/>
      <w:numFmt w:val="bullet"/>
      <w:lvlText w:val=""/>
      <w:lvlJc w:val="left"/>
      <w:pPr>
        <w:ind w:left="5700" w:hanging="360"/>
      </w:pPr>
      <w:rPr>
        <w:rFonts w:ascii="Symbol" w:hAnsi="Symbol" w:hint="default"/>
      </w:rPr>
    </w:lvl>
    <w:lvl w:ilvl="7" w:tplc="141A0003" w:tentative="1">
      <w:start w:val="1"/>
      <w:numFmt w:val="bullet"/>
      <w:lvlText w:val="o"/>
      <w:lvlJc w:val="left"/>
      <w:pPr>
        <w:ind w:left="6420" w:hanging="360"/>
      </w:pPr>
      <w:rPr>
        <w:rFonts w:ascii="Courier New" w:hAnsi="Courier New" w:cs="Courier New" w:hint="default"/>
      </w:rPr>
    </w:lvl>
    <w:lvl w:ilvl="8" w:tplc="141A0005" w:tentative="1">
      <w:start w:val="1"/>
      <w:numFmt w:val="bullet"/>
      <w:lvlText w:val=""/>
      <w:lvlJc w:val="left"/>
      <w:pPr>
        <w:ind w:left="7140" w:hanging="360"/>
      </w:pPr>
      <w:rPr>
        <w:rFonts w:ascii="Wingdings" w:hAnsi="Wingdings" w:hint="default"/>
      </w:rPr>
    </w:lvl>
  </w:abstractNum>
  <w:abstractNum w:abstractNumId="25">
    <w:nsid w:val="3AA57EB2"/>
    <w:multiLevelType w:val="hybridMultilevel"/>
    <w:tmpl w:val="84B8F8C2"/>
    <w:lvl w:ilvl="0" w:tplc="04090005">
      <w:start w:val="1"/>
      <w:numFmt w:val="bullet"/>
      <w:lvlText w:val=""/>
      <w:lvlJc w:val="left"/>
      <w:pPr>
        <w:ind w:left="36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nsid w:val="3AAF146C"/>
    <w:multiLevelType w:val="hybridMultilevel"/>
    <w:tmpl w:val="584276B0"/>
    <w:lvl w:ilvl="0" w:tplc="A3568E30">
      <w:start w:val="1"/>
      <w:numFmt w:val="bullet"/>
      <w:lvlText w:val=""/>
      <w:lvlJc w:val="left"/>
      <w:pPr>
        <w:ind w:left="720" w:hanging="360"/>
      </w:pPr>
      <w:rPr>
        <w:rFonts w:ascii="Symbol" w:hAnsi="Symbol" w:hint="default"/>
        <w:color w:val="auto"/>
        <w:sz w:val="20"/>
        <w:szCs w:val="20"/>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7">
    <w:nsid w:val="3B0A214B"/>
    <w:multiLevelType w:val="hybridMultilevel"/>
    <w:tmpl w:val="D4FC7038"/>
    <w:lvl w:ilvl="0" w:tplc="0ABC323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0A83788"/>
    <w:multiLevelType w:val="hybridMultilevel"/>
    <w:tmpl w:val="5A0CDF68"/>
    <w:lvl w:ilvl="0" w:tplc="33F00702">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D56E70"/>
    <w:multiLevelType w:val="hybridMultilevel"/>
    <w:tmpl w:val="292A74D6"/>
    <w:lvl w:ilvl="0" w:tplc="0ABC3238">
      <w:start w:val="1"/>
      <w:numFmt w:val="bullet"/>
      <w:lvlText w:val=""/>
      <w:lvlJc w:val="left"/>
      <w:pPr>
        <w:ind w:left="720" w:hanging="360"/>
      </w:pPr>
      <w:rPr>
        <w:rFonts w:ascii="Symbol" w:hAnsi="Symbol" w:hint="default"/>
        <w:color w:val="auto"/>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0">
    <w:nsid w:val="454A6CE3"/>
    <w:multiLevelType w:val="hybridMultilevel"/>
    <w:tmpl w:val="34A05544"/>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1">
    <w:nsid w:val="45726680"/>
    <w:multiLevelType w:val="hybridMultilevel"/>
    <w:tmpl w:val="39B2A9AC"/>
    <w:lvl w:ilvl="0" w:tplc="0E6A438C">
      <w:numFmt w:val="bullet"/>
      <w:lvlText w:val="-"/>
      <w:lvlJc w:val="left"/>
      <w:pPr>
        <w:tabs>
          <w:tab w:val="num" w:pos="660"/>
        </w:tabs>
        <w:ind w:left="660" w:hanging="360"/>
      </w:pPr>
      <w:rPr>
        <w:rFonts w:ascii="Times New Roman" w:eastAsia="Times New Roman" w:hAnsi="Times New Roman" w:cs="Times New Roman" w:hint="default"/>
      </w:rPr>
    </w:lvl>
    <w:lvl w:ilvl="1" w:tplc="04090003">
      <w:start w:val="1"/>
      <w:numFmt w:val="bullet"/>
      <w:lvlText w:val="o"/>
      <w:lvlJc w:val="left"/>
      <w:pPr>
        <w:tabs>
          <w:tab w:val="num" w:pos="1380"/>
        </w:tabs>
        <w:ind w:left="1380" w:hanging="360"/>
      </w:pPr>
      <w:rPr>
        <w:rFonts w:ascii="Courier New" w:hAnsi="Courier New" w:hint="default"/>
      </w:rPr>
    </w:lvl>
    <w:lvl w:ilvl="2" w:tplc="04090005">
      <w:start w:val="1"/>
      <w:numFmt w:val="bullet"/>
      <w:lvlText w:val=""/>
      <w:lvlJc w:val="left"/>
      <w:pPr>
        <w:tabs>
          <w:tab w:val="num" w:pos="2100"/>
        </w:tabs>
        <w:ind w:left="2100" w:hanging="360"/>
      </w:pPr>
      <w:rPr>
        <w:rFonts w:ascii="Wingdings" w:hAnsi="Wingdings" w:hint="default"/>
      </w:rPr>
    </w:lvl>
    <w:lvl w:ilvl="3" w:tplc="04090001">
      <w:start w:val="1"/>
      <w:numFmt w:val="bullet"/>
      <w:lvlText w:val=""/>
      <w:lvlJc w:val="left"/>
      <w:pPr>
        <w:tabs>
          <w:tab w:val="num" w:pos="2820"/>
        </w:tabs>
        <w:ind w:left="2820" w:hanging="360"/>
      </w:pPr>
      <w:rPr>
        <w:rFonts w:ascii="Symbol" w:hAnsi="Symbol" w:hint="default"/>
      </w:rPr>
    </w:lvl>
    <w:lvl w:ilvl="4" w:tplc="04090003">
      <w:start w:val="1"/>
      <w:numFmt w:val="bullet"/>
      <w:lvlText w:val="o"/>
      <w:lvlJc w:val="left"/>
      <w:pPr>
        <w:tabs>
          <w:tab w:val="num" w:pos="3540"/>
        </w:tabs>
        <w:ind w:left="3540" w:hanging="360"/>
      </w:pPr>
      <w:rPr>
        <w:rFonts w:ascii="Courier New" w:hAnsi="Courier New" w:hint="default"/>
      </w:rPr>
    </w:lvl>
    <w:lvl w:ilvl="5" w:tplc="04090005">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32">
    <w:nsid w:val="457729E6"/>
    <w:multiLevelType w:val="hybridMultilevel"/>
    <w:tmpl w:val="39DC0C02"/>
    <w:lvl w:ilvl="0" w:tplc="0ABC3238">
      <w:start w:val="1"/>
      <w:numFmt w:val="bullet"/>
      <w:lvlText w:val=""/>
      <w:lvlJc w:val="left"/>
      <w:pPr>
        <w:ind w:left="1224" w:hanging="360"/>
      </w:pPr>
      <w:rPr>
        <w:rFonts w:ascii="Symbol" w:hAnsi="Symbol" w:hint="default"/>
        <w:color w:val="auto"/>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3">
    <w:nsid w:val="47F65DF4"/>
    <w:multiLevelType w:val="hybridMultilevel"/>
    <w:tmpl w:val="B5D4FF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49DF3255"/>
    <w:multiLevelType w:val="hybridMultilevel"/>
    <w:tmpl w:val="98207B7E"/>
    <w:lvl w:ilvl="0" w:tplc="EF764970">
      <w:start w:val="1"/>
      <w:numFmt w:val="bullet"/>
      <w:pStyle w:val="ListParagraph"/>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5D5F19"/>
    <w:multiLevelType w:val="hybridMultilevel"/>
    <w:tmpl w:val="0A06D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64048E"/>
    <w:multiLevelType w:val="multilevel"/>
    <w:tmpl w:val="9E8E5D86"/>
    <w:lvl w:ilvl="0">
      <w:start w:val="1"/>
      <w:numFmt w:val="decimal"/>
      <w:lvlText w:val="%1."/>
      <w:lvlJc w:val="left"/>
      <w:pPr>
        <w:ind w:left="720" w:hanging="360"/>
      </w:pPr>
      <w:rPr>
        <w:rFonts w:hint="default"/>
        <w:color w:val="auto"/>
      </w:rPr>
    </w:lvl>
    <w:lvl w:ilvl="1">
      <w:start w:val="1"/>
      <w:numFmt w:val="decimal"/>
      <w:isLgl/>
      <w:lvlText w:val="%1.%2."/>
      <w:lvlJc w:val="left"/>
      <w:pPr>
        <w:ind w:left="2775" w:hanging="2235"/>
      </w:pPr>
      <w:rPr>
        <w:rFonts w:hint="default"/>
      </w:rPr>
    </w:lvl>
    <w:lvl w:ilvl="2">
      <w:start w:val="3"/>
      <w:numFmt w:val="decimal"/>
      <w:isLgl/>
      <w:lvlText w:val="%1.%2.%3."/>
      <w:lvlJc w:val="left"/>
      <w:pPr>
        <w:ind w:left="2955" w:hanging="2235"/>
      </w:pPr>
      <w:rPr>
        <w:rFonts w:hint="default"/>
      </w:rPr>
    </w:lvl>
    <w:lvl w:ilvl="3">
      <w:start w:val="1"/>
      <w:numFmt w:val="decimal"/>
      <w:isLgl/>
      <w:lvlText w:val="%1.%2.%3.%4."/>
      <w:lvlJc w:val="left"/>
      <w:pPr>
        <w:ind w:left="3135" w:hanging="2235"/>
      </w:pPr>
      <w:rPr>
        <w:rFonts w:hint="default"/>
      </w:rPr>
    </w:lvl>
    <w:lvl w:ilvl="4">
      <w:start w:val="1"/>
      <w:numFmt w:val="decimal"/>
      <w:isLgl/>
      <w:lvlText w:val="%1.%2.%3.%4.%5."/>
      <w:lvlJc w:val="left"/>
      <w:pPr>
        <w:ind w:left="3315" w:hanging="2235"/>
      </w:pPr>
      <w:rPr>
        <w:rFonts w:hint="default"/>
      </w:rPr>
    </w:lvl>
    <w:lvl w:ilvl="5">
      <w:start w:val="1"/>
      <w:numFmt w:val="decimal"/>
      <w:isLgl/>
      <w:lvlText w:val="%1.%2.%3.%4.%5.%6."/>
      <w:lvlJc w:val="left"/>
      <w:pPr>
        <w:ind w:left="3495" w:hanging="2235"/>
      </w:pPr>
      <w:rPr>
        <w:rFonts w:hint="default"/>
      </w:rPr>
    </w:lvl>
    <w:lvl w:ilvl="6">
      <w:start w:val="1"/>
      <w:numFmt w:val="decimal"/>
      <w:isLgl/>
      <w:lvlText w:val="%1.%2.%3.%4.%5.%6.%7."/>
      <w:lvlJc w:val="left"/>
      <w:pPr>
        <w:ind w:left="3675" w:hanging="2235"/>
      </w:pPr>
      <w:rPr>
        <w:rFonts w:hint="default"/>
      </w:rPr>
    </w:lvl>
    <w:lvl w:ilvl="7">
      <w:start w:val="1"/>
      <w:numFmt w:val="decimal"/>
      <w:isLgl/>
      <w:lvlText w:val="%1.%2.%3.%4.%5.%6.%7.%8."/>
      <w:lvlJc w:val="left"/>
      <w:pPr>
        <w:ind w:left="3855" w:hanging="2235"/>
      </w:pPr>
      <w:rPr>
        <w:rFonts w:hint="default"/>
      </w:rPr>
    </w:lvl>
    <w:lvl w:ilvl="8">
      <w:start w:val="1"/>
      <w:numFmt w:val="decimal"/>
      <w:isLgl/>
      <w:lvlText w:val="%1.%2.%3.%4.%5.%6.%7.%8.%9."/>
      <w:lvlJc w:val="left"/>
      <w:pPr>
        <w:ind w:left="4035" w:hanging="2235"/>
      </w:pPr>
      <w:rPr>
        <w:rFonts w:hint="default"/>
      </w:rPr>
    </w:lvl>
  </w:abstractNum>
  <w:abstractNum w:abstractNumId="37">
    <w:nsid w:val="54B55DF3"/>
    <w:multiLevelType w:val="hybridMultilevel"/>
    <w:tmpl w:val="FCD40A96"/>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714699E"/>
    <w:multiLevelType w:val="hybridMultilevel"/>
    <w:tmpl w:val="8AA6846E"/>
    <w:lvl w:ilvl="0" w:tplc="F94A4E62">
      <w:start w:val="1"/>
      <w:numFmt w:val="bullet"/>
      <w:lvlText w:val=""/>
      <w:lvlJc w:val="left"/>
      <w:pPr>
        <w:ind w:left="720" w:hanging="360"/>
      </w:pPr>
      <w:rPr>
        <w:rFonts w:ascii="Symbol" w:hAnsi="Symbol" w:hint="default"/>
        <w:color w:val="auto"/>
        <w:sz w:val="20"/>
        <w:szCs w:val="20"/>
      </w:rPr>
    </w:lvl>
    <w:lvl w:ilvl="1" w:tplc="0ABC3238">
      <w:start w:val="1"/>
      <w:numFmt w:val="bullet"/>
      <w:lvlText w:val=""/>
      <w:lvlJc w:val="left"/>
      <w:pPr>
        <w:ind w:left="1440" w:hanging="360"/>
      </w:pPr>
      <w:rPr>
        <w:rFonts w:ascii="Symbol" w:hAnsi="Symbol" w:hint="default"/>
        <w:color w:val="auto"/>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9">
    <w:nsid w:val="5F352C53"/>
    <w:multiLevelType w:val="hybridMultilevel"/>
    <w:tmpl w:val="64A0DAD6"/>
    <w:lvl w:ilvl="0" w:tplc="141A000F">
      <w:start w:val="1"/>
      <w:numFmt w:val="decimal"/>
      <w:lvlText w:val="%1."/>
      <w:lvlJc w:val="left"/>
      <w:pPr>
        <w:ind w:left="1080" w:hanging="360"/>
      </w:p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40">
    <w:nsid w:val="67782DD3"/>
    <w:multiLevelType w:val="multilevel"/>
    <w:tmpl w:val="4A2E2EF4"/>
    <w:styleLink w:val="WWNum6"/>
    <w:lvl w:ilvl="0">
      <w:numFmt w:val="bullet"/>
      <w:lvlText w:val=""/>
      <w:lvlJc w:val="left"/>
      <w:rPr>
        <w:rFonts w:ascii="Symbol" w:hAnsi="Symbol"/>
        <w:color w:val="00000A"/>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1">
    <w:nsid w:val="69244597"/>
    <w:multiLevelType w:val="hybridMultilevel"/>
    <w:tmpl w:val="DB6A117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2">
    <w:nsid w:val="6B26715E"/>
    <w:multiLevelType w:val="hybridMultilevel"/>
    <w:tmpl w:val="EB1C46B6"/>
    <w:lvl w:ilvl="0" w:tplc="0E6A438C">
      <w:numFmt w:val="bullet"/>
      <w:lvlText w:val="-"/>
      <w:lvlJc w:val="left"/>
      <w:pPr>
        <w:ind w:left="1380" w:hanging="360"/>
      </w:pPr>
      <w:rPr>
        <w:rFonts w:ascii="Times New Roman" w:eastAsia="Times New Roman" w:hAnsi="Times New Roman" w:cs="Times New Roman" w:hint="default"/>
      </w:rPr>
    </w:lvl>
    <w:lvl w:ilvl="1" w:tplc="141A0003" w:tentative="1">
      <w:start w:val="1"/>
      <w:numFmt w:val="bullet"/>
      <w:lvlText w:val="o"/>
      <w:lvlJc w:val="left"/>
      <w:pPr>
        <w:ind w:left="2100" w:hanging="360"/>
      </w:pPr>
      <w:rPr>
        <w:rFonts w:ascii="Courier New" w:hAnsi="Courier New" w:cs="Courier New" w:hint="default"/>
      </w:rPr>
    </w:lvl>
    <w:lvl w:ilvl="2" w:tplc="141A0005" w:tentative="1">
      <w:start w:val="1"/>
      <w:numFmt w:val="bullet"/>
      <w:lvlText w:val=""/>
      <w:lvlJc w:val="left"/>
      <w:pPr>
        <w:ind w:left="2820" w:hanging="360"/>
      </w:pPr>
      <w:rPr>
        <w:rFonts w:ascii="Wingdings" w:hAnsi="Wingdings" w:hint="default"/>
      </w:rPr>
    </w:lvl>
    <w:lvl w:ilvl="3" w:tplc="141A0001" w:tentative="1">
      <w:start w:val="1"/>
      <w:numFmt w:val="bullet"/>
      <w:lvlText w:val=""/>
      <w:lvlJc w:val="left"/>
      <w:pPr>
        <w:ind w:left="3540" w:hanging="360"/>
      </w:pPr>
      <w:rPr>
        <w:rFonts w:ascii="Symbol" w:hAnsi="Symbol" w:hint="default"/>
      </w:rPr>
    </w:lvl>
    <w:lvl w:ilvl="4" w:tplc="141A0003" w:tentative="1">
      <w:start w:val="1"/>
      <w:numFmt w:val="bullet"/>
      <w:lvlText w:val="o"/>
      <w:lvlJc w:val="left"/>
      <w:pPr>
        <w:ind w:left="4260" w:hanging="360"/>
      </w:pPr>
      <w:rPr>
        <w:rFonts w:ascii="Courier New" w:hAnsi="Courier New" w:cs="Courier New" w:hint="default"/>
      </w:rPr>
    </w:lvl>
    <w:lvl w:ilvl="5" w:tplc="141A0005" w:tentative="1">
      <w:start w:val="1"/>
      <w:numFmt w:val="bullet"/>
      <w:lvlText w:val=""/>
      <w:lvlJc w:val="left"/>
      <w:pPr>
        <w:ind w:left="4980" w:hanging="360"/>
      </w:pPr>
      <w:rPr>
        <w:rFonts w:ascii="Wingdings" w:hAnsi="Wingdings" w:hint="default"/>
      </w:rPr>
    </w:lvl>
    <w:lvl w:ilvl="6" w:tplc="141A0001" w:tentative="1">
      <w:start w:val="1"/>
      <w:numFmt w:val="bullet"/>
      <w:lvlText w:val=""/>
      <w:lvlJc w:val="left"/>
      <w:pPr>
        <w:ind w:left="5700" w:hanging="360"/>
      </w:pPr>
      <w:rPr>
        <w:rFonts w:ascii="Symbol" w:hAnsi="Symbol" w:hint="default"/>
      </w:rPr>
    </w:lvl>
    <w:lvl w:ilvl="7" w:tplc="141A0003" w:tentative="1">
      <w:start w:val="1"/>
      <w:numFmt w:val="bullet"/>
      <w:lvlText w:val="o"/>
      <w:lvlJc w:val="left"/>
      <w:pPr>
        <w:ind w:left="6420" w:hanging="360"/>
      </w:pPr>
      <w:rPr>
        <w:rFonts w:ascii="Courier New" w:hAnsi="Courier New" w:cs="Courier New" w:hint="default"/>
      </w:rPr>
    </w:lvl>
    <w:lvl w:ilvl="8" w:tplc="141A0005" w:tentative="1">
      <w:start w:val="1"/>
      <w:numFmt w:val="bullet"/>
      <w:lvlText w:val=""/>
      <w:lvlJc w:val="left"/>
      <w:pPr>
        <w:ind w:left="7140" w:hanging="360"/>
      </w:pPr>
      <w:rPr>
        <w:rFonts w:ascii="Wingdings" w:hAnsi="Wingdings" w:hint="default"/>
      </w:rPr>
    </w:lvl>
  </w:abstractNum>
  <w:abstractNum w:abstractNumId="43">
    <w:nsid w:val="6F973543"/>
    <w:multiLevelType w:val="hybridMultilevel"/>
    <w:tmpl w:val="56187210"/>
    <w:lvl w:ilvl="0" w:tplc="0ABC3238">
      <w:start w:val="1"/>
      <w:numFmt w:val="bullet"/>
      <w:lvlText w:val=""/>
      <w:lvlJc w:val="left"/>
      <w:pPr>
        <w:tabs>
          <w:tab w:val="num" w:pos="1069"/>
        </w:tabs>
        <w:ind w:left="1069"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74E2444C"/>
    <w:multiLevelType w:val="hybridMultilevel"/>
    <w:tmpl w:val="F9CED65C"/>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45">
    <w:nsid w:val="77490CE7"/>
    <w:multiLevelType w:val="hybridMultilevel"/>
    <w:tmpl w:val="463C011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6">
    <w:nsid w:val="7C7B4CB8"/>
    <w:multiLevelType w:val="multilevel"/>
    <w:tmpl w:val="A942C2D8"/>
    <w:lvl w:ilvl="0">
      <w:start w:val="1"/>
      <w:numFmt w:val="decimal"/>
      <w:lvlText w:val="%1."/>
      <w:lvlJc w:val="left"/>
      <w:pPr>
        <w:ind w:left="720" w:hanging="360"/>
      </w:pPr>
      <w:rPr>
        <w:rFonts w:hint="default"/>
      </w:rPr>
    </w:lvl>
    <w:lvl w:ilvl="1">
      <w:start w:val="2"/>
      <w:numFmt w:val="decimal"/>
      <w:isLgl/>
      <w:lvlText w:val="%1.%2."/>
      <w:lvlJc w:val="left"/>
      <w:pPr>
        <w:ind w:left="832" w:hanging="450"/>
      </w:pPr>
      <w:rPr>
        <w:rFonts w:hint="default"/>
        <w:b/>
        <w:sz w:val="20"/>
      </w:rPr>
    </w:lvl>
    <w:lvl w:ilvl="2">
      <w:start w:val="1"/>
      <w:numFmt w:val="decimal"/>
      <w:isLgl/>
      <w:lvlText w:val="%1.%2.%3."/>
      <w:lvlJc w:val="left"/>
      <w:pPr>
        <w:ind w:left="720" w:hanging="720"/>
      </w:pPr>
      <w:rPr>
        <w:rFonts w:hint="default"/>
        <w:b/>
        <w:sz w:val="24"/>
      </w:rPr>
    </w:lvl>
    <w:lvl w:ilvl="3">
      <w:start w:val="1"/>
      <w:numFmt w:val="decimal"/>
      <w:isLgl/>
      <w:lvlText w:val="%1.%2.%3.%4."/>
      <w:lvlJc w:val="left"/>
      <w:pPr>
        <w:ind w:left="1146" w:hanging="720"/>
      </w:pPr>
      <w:rPr>
        <w:rFonts w:hint="default"/>
        <w:b/>
        <w:sz w:val="20"/>
      </w:rPr>
    </w:lvl>
    <w:lvl w:ilvl="4">
      <w:start w:val="1"/>
      <w:numFmt w:val="decimal"/>
      <w:isLgl/>
      <w:lvlText w:val="%1.%2.%3.%4.%5."/>
      <w:lvlJc w:val="left"/>
      <w:pPr>
        <w:ind w:left="1528" w:hanging="1080"/>
      </w:pPr>
      <w:rPr>
        <w:rFonts w:hint="default"/>
        <w:b/>
        <w:sz w:val="20"/>
      </w:rPr>
    </w:lvl>
    <w:lvl w:ilvl="5">
      <w:start w:val="1"/>
      <w:numFmt w:val="decimal"/>
      <w:isLgl/>
      <w:lvlText w:val="%1.%2.%3.%4.%5.%6."/>
      <w:lvlJc w:val="left"/>
      <w:pPr>
        <w:ind w:left="1550" w:hanging="1080"/>
      </w:pPr>
      <w:rPr>
        <w:rFonts w:hint="default"/>
        <w:b/>
        <w:sz w:val="20"/>
      </w:rPr>
    </w:lvl>
    <w:lvl w:ilvl="6">
      <w:start w:val="1"/>
      <w:numFmt w:val="decimal"/>
      <w:isLgl/>
      <w:lvlText w:val="%1.%2.%3.%4.%5.%6.%7."/>
      <w:lvlJc w:val="left"/>
      <w:pPr>
        <w:ind w:left="1932" w:hanging="1440"/>
      </w:pPr>
      <w:rPr>
        <w:rFonts w:hint="default"/>
        <w:b/>
        <w:sz w:val="20"/>
      </w:rPr>
    </w:lvl>
    <w:lvl w:ilvl="7">
      <w:start w:val="1"/>
      <w:numFmt w:val="decimal"/>
      <w:isLgl/>
      <w:lvlText w:val="%1.%2.%3.%4.%5.%6.%7.%8."/>
      <w:lvlJc w:val="left"/>
      <w:pPr>
        <w:ind w:left="1954" w:hanging="1440"/>
      </w:pPr>
      <w:rPr>
        <w:rFonts w:hint="default"/>
        <w:b/>
        <w:sz w:val="20"/>
      </w:rPr>
    </w:lvl>
    <w:lvl w:ilvl="8">
      <w:start w:val="1"/>
      <w:numFmt w:val="decimal"/>
      <w:isLgl/>
      <w:lvlText w:val="%1.%2.%3.%4.%5.%6.%7.%8.%9."/>
      <w:lvlJc w:val="left"/>
      <w:pPr>
        <w:ind w:left="2336" w:hanging="1800"/>
      </w:pPr>
      <w:rPr>
        <w:rFonts w:hint="default"/>
        <w:b/>
        <w:sz w:val="20"/>
      </w:rPr>
    </w:lvl>
  </w:abstractNum>
  <w:abstractNum w:abstractNumId="47">
    <w:nsid w:val="7D091A92"/>
    <w:multiLevelType w:val="hybridMultilevel"/>
    <w:tmpl w:val="E84C56A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43"/>
  </w:num>
  <w:num w:numId="2">
    <w:abstractNumId w:val="10"/>
  </w:num>
  <w:num w:numId="3">
    <w:abstractNumId w:val="46"/>
  </w:num>
  <w:num w:numId="4">
    <w:abstractNumId w:val="15"/>
  </w:num>
  <w:num w:numId="5">
    <w:abstractNumId w:val="12"/>
  </w:num>
  <w:num w:numId="6">
    <w:abstractNumId w:val="36"/>
  </w:num>
  <w:num w:numId="7">
    <w:abstractNumId w:val="18"/>
  </w:num>
  <w:num w:numId="8">
    <w:abstractNumId w:val="28"/>
  </w:num>
  <w:num w:numId="9">
    <w:abstractNumId w:val="31"/>
  </w:num>
  <w:num w:numId="10">
    <w:abstractNumId w:val="35"/>
  </w:num>
  <w:num w:numId="11">
    <w:abstractNumId w:val="23"/>
  </w:num>
  <w:num w:numId="12">
    <w:abstractNumId w:val="47"/>
  </w:num>
  <w:num w:numId="13">
    <w:abstractNumId w:val="45"/>
  </w:num>
  <w:num w:numId="14">
    <w:abstractNumId w:val="39"/>
  </w:num>
  <w:num w:numId="15">
    <w:abstractNumId w:val="21"/>
  </w:num>
  <w:num w:numId="16">
    <w:abstractNumId w:val="7"/>
  </w:num>
  <w:num w:numId="17">
    <w:abstractNumId w:val="34"/>
  </w:num>
  <w:num w:numId="18">
    <w:abstractNumId w:val="20"/>
  </w:num>
  <w:num w:numId="19">
    <w:abstractNumId w:val="6"/>
  </w:num>
  <w:num w:numId="20">
    <w:abstractNumId w:val="33"/>
  </w:num>
  <w:num w:numId="21">
    <w:abstractNumId w:val="37"/>
  </w:num>
  <w:num w:numId="22">
    <w:abstractNumId w:val="40"/>
  </w:num>
  <w:num w:numId="23">
    <w:abstractNumId w:val="27"/>
  </w:num>
  <w:num w:numId="24">
    <w:abstractNumId w:val="14"/>
  </w:num>
  <w:num w:numId="25">
    <w:abstractNumId w:val="41"/>
  </w:num>
  <w:num w:numId="26">
    <w:abstractNumId w:val="11"/>
  </w:num>
  <w:num w:numId="27">
    <w:abstractNumId w:val="44"/>
  </w:num>
  <w:num w:numId="28">
    <w:abstractNumId w:val="17"/>
  </w:num>
  <w:num w:numId="29">
    <w:abstractNumId w:val="16"/>
  </w:num>
  <w:num w:numId="30">
    <w:abstractNumId w:val="25"/>
  </w:num>
  <w:num w:numId="31">
    <w:abstractNumId w:val="13"/>
  </w:num>
  <w:num w:numId="32">
    <w:abstractNumId w:val="8"/>
  </w:num>
  <w:num w:numId="33">
    <w:abstractNumId w:val="30"/>
  </w:num>
  <w:num w:numId="34">
    <w:abstractNumId w:val="32"/>
  </w:num>
  <w:num w:numId="35">
    <w:abstractNumId w:val="26"/>
  </w:num>
  <w:num w:numId="36">
    <w:abstractNumId w:val="29"/>
  </w:num>
  <w:num w:numId="37">
    <w:abstractNumId w:val="38"/>
  </w:num>
  <w:num w:numId="38">
    <w:abstractNumId w:val="22"/>
  </w:num>
  <w:num w:numId="39">
    <w:abstractNumId w:val="5"/>
  </w:num>
  <w:num w:numId="40">
    <w:abstractNumId w:val="9"/>
  </w:num>
  <w:num w:numId="41">
    <w:abstractNumId w:val="19"/>
  </w:num>
  <w:num w:numId="42">
    <w:abstractNumId w:val="24"/>
  </w:num>
  <w:num w:numId="43">
    <w:abstractNumId w:val="4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81DF1"/>
    <w:rsid w:val="00002807"/>
    <w:rsid w:val="00005095"/>
    <w:rsid w:val="000061E3"/>
    <w:rsid w:val="00012BDD"/>
    <w:rsid w:val="00013B85"/>
    <w:rsid w:val="00015F63"/>
    <w:rsid w:val="0003611F"/>
    <w:rsid w:val="00040463"/>
    <w:rsid w:val="000416EF"/>
    <w:rsid w:val="00043B81"/>
    <w:rsid w:val="000444C2"/>
    <w:rsid w:val="00045185"/>
    <w:rsid w:val="00045238"/>
    <w:rsid w:val="00046484"/>
    <w:rsid w:val="00047CE3"/>
    <w:rsid w:val="00047F44"/>
    <w:rsid w:val="00050CD8"/>
    <w:rsid w:val="000518DD"/>
    <w:rsid w:val="00053E79"/>
    <w:rsid w:val="0005437D"/>
    <w:rsid w:val="00054F77"/>
    <w:rsid w:val="00055F76"/>
    <w:rsid w:val="000628D1"/>
    <w:rsid w:val="000660D8"/>
    <w:rsid w:val="000721B2"/>
    <w:rsid w:val="0007280E"/>
    <w:rsid w:val="00073A56"/>
    <w:rsid w:val="0007477E"/>
    <w:rsid w:val="000800E3"/>
    <w:rsid w:val="00080BFC"/>
    <w:rsid w:val="00082E12"/>
    <w:rsid w:val="00083D91"/>
    <w:rsid w:val="00083DBA"/>
    <w:rsid w:val="0009289F"/>
    <w:rsid w:val="00092E44"/>
    <w:rsid w:val="00094E88"/>
    <w:rsid w:val="000952A9"/>
    <w:rsid w:val="000A11F7"/>
    <w:rsid w:val="000A1429"/>
    <w:rsid w:val="000B16FF"/>
    <w:rsid w:val="000B1937"/>
    <w:rsid w:val="000B6781"/>
    <w:rsid w:val="000B7C52"/>
    <w:rsid w:val="000C1F27"/>
    <w:rsid w:val="000E1ACE"/>
    <w:rsid w:val="000E4A04"/>
    <w:rsid w:val="000E6538"/>
    <w:rsid w:val="000F3D68"/>
    <w:rsid w:val="000F60D2"/>
    <w:rsid w:val="000F7995"/>
    <w:rsid w:val="00101B63"/>
    <w:rsid w:val="00107E19"/>
    <w:rsid w:val="00110DF3"/>
    <w:rsid w:val="00116523"/>
    <w:rsid w:val="001211B8"/>
    <w:rsid w:val="00122893"/>
    <w:rsid w:val="00122CE9"/>
    <w:rsid w:val="001233D2"/>
    <w:rsid w:val="00126FE2"/>
    <w:rsid w:val="00130A20"/>
    <w:rsid w:val="00133151"/>
    <w:rsid w:val="00134257"/>
    <w:rsid w:val="001344B2"/>
    <w:rsid w:val="0013489B"/>
    <w:rsid w:val="0014147A"/>
    <w:rsid w:val="00142085"/>
    <w:rsid w:val="00145239"/>
    <w:rsid w:val="001462D5"/>
    <w:rsid w:val="00147DEF"/>
    <w:rsid w:val="00153E34"/>
    <w:rsid w:val="00155D0E"/>
    <w:rsid w:val="00162F99"/>
    <w:rsid w:val="001641D1"/>
    <w:rsid w:val="0016626E"/>
    <w:rsid w:val="00167372"/>
    <w:rsid w:val="0017088B"/>
    <w:rsid w:val="00173CC4"/>
    <w:rsid w:val="00173EB8"/>
    <w:rsid w:val="001751CA"/>
    <w:rsid w:val="0017647C"/>
    <w:rsid w:val="00180A42"/>
    <w:rsid w:val="00190F96"/>
    <w:rsid w:val="001940AE"/>
    <w:rsid w:val="00194862"/>
    <w:rsid w:val="00194A79"/>
    <w:rsid w:val="00195392"/>
    <w:rsid w:val="00195620"/>
    <w:rsid w:val="00195873"/>
    <w:rsid w:val="001A274E"/>
    <w:rsid w:val="001A3B2C"/>
    <w:rsid w:val="001A3DAF"/>
    <w:rsid w:val="001A616A"/>
    <w:rsid w:val="001A6DA8"/>
    <w:rsid w:val="001B128C"/>
    <w:rsid w:val="001B20A3"/>
    <w:rsid w:val="001B2683"/>
    <w:rsid w:val="001B2932"/>
    <w:rsid w:val="001B4AA7"/>
    <w:rsid w:val="001B4B96"/>
    <w:rsid w:val="001B5C11"/>
    <w:rsid w:val="001B6DF3"/>
    <w:rsid w:val="001C365F"/>
    <w:rsid w:val="001C37BF"/>
    <w:rsid w:val="001C7E7F"/>
    <w:rsid w:val="001D10E3"/>
    <w:rsid w:val="001D5E36"/>
    <w:rsid w:val="001D771B"/>
    <w:rsid w:val="001E0BD7"/>
    <w:rsid w:val="001E449C"/>
    <w:rsid w:val="001E55BA"/>
    <w:rsid w:val="001E6FD0"/>
    <w:rsid w:val="001F0FA5"/>
    <w:rsid w:val="001F2D54"/>
    <w:rsid w:val="001F3520"/>
    <w:rsid w:val="00201552"/>
    <w:rsid w:val="00203161"/>
    <w:rsid w:val="00203AD4"/>
    <w:rsid w:val="0020417C"/>
    <w:rsid w:val="002059B5"/>
    <w:rsid w:val="00212402"/>
    <w:rsid w:val="00213BF9"/>
    <w:rsid w:val="002175B0"/>
    <w:rsid w:val="0022092D"/>
    <w:rsid w:val="00223725"/>
    <w:rsid w:val="00223A47"/>
    <w:rsid w:val="00224AB2"/>
    <w:rsid w:val="00232A52"/>
    <w:rsid w:val="00232A5A"/>
    <w:rsid w:val="0023350B"/>
    <w:rsid w:val="00233BA2"/>
    <w:rsid w:val="00235AB8"/>
    <w:rsid w:val="002471F6"/>
    <w:rsid w:val="00260F4F"/>
    <w:rsid w:val="002610E2"/>
    <w:rsid w:val="002628F2"/>
    <w:rsid w:val="00262D2B"/>
    <w:rsid w:val="00264B0E"/>
    <w:rsid w:val="00270260"/>
    <w:rsid w:val="00271551"/>
    <w:rsid w:val="00272086"/>
    <w:rsid w:val="00272E97"/>
    <w:rsid w:val="00273FAD"/>
    <w:rsid w:val="00274BDA"/>
    <w:rsid w:val="00281726"/>
    <w:rsid w:val="002820C9"/>
    <w:rsid w:val="00282942"/>
    <w:rsid w:val="002837E2"/>
    <w:rsid w:val="0028657D"/>
    <w:rsid w:val="00286877"/>
    <w:rsid w:val="00297347"/>
    <w:rsid w:val="002B1AC7"/>
    <w:rsid w:val="002B2C62"/>
    <w:rsid w:val="002B6E7B"/>
    <w:rsid w:val="002B7BD2"/>
    <w:rsid w:val="002B7D8E"/>
    <w:rsid w:val="002C3D71"/>
    <w:rsid w:val="002C4BE4"/>
    <w:rsid w:val="002C4EE5"/>
    <w:rsid w:val="002C557E"/>
    <w:rsid w:val="002C5C3C"/>
    <w:rsid w:val="002C766C"/>
    <w:rsid w:val="002D095A"/>
    <w:rsid w:val="002D15D9"/>
    <w:rsid w:val="002D1DFD"/>
    <w:rsid w:val="002D6767"/>
    <w:rsid w:val="002D6F33"/>
    <w:rsid w:val="002E32D4"/>
    <w:rsid w:val="002E46A9"/>
    <w:rsid w:val="002E79A7"/>
    <w:rsid w:val="002F021E"/>
    <w:rsid w:val="002F33D5"/>
    <w:rsid w:val="002F3C8F"/>
    <w:rsid w:val="002F4040"/>
    <w:rsid w:val="002F46B5"/>
    <w:rsid w:val="002F5CD1"/>
    <w:rsid w:val="002F69EE"/>
    <w:rsid w:val="003019A8"/>
    <w:rsid w:val="00307843"/>
    <w:rsid w:val="00312E7A"/>
    <w:rsid w:val="00315790"/>
    <w:rsid w:val="00316D53"/>
    <w:rsid w:val="00317684"/>
    <w:rsid w:val="00327140"/>
    <w:rsid w:val="00330A43"/>
    <w:rsid w:val="00331BDD"/>
    <w:rsid w:val="00334855"/>
    <w:rsid w:val="003364E9"/>
    <w:rsid w:val="00336586"/>
    <w:rsid w:val="0034353C"/>
    <w:rsid w:val="003443EF"/>
    <w:rsid w:val="00345863"/>
    <w:rsid w:val="00350878"/>
    <w:rsid w:val="0035132E"/>
    <w:rsid w:val="00351374"/>
    <w:rsid w:val="00352EEA"/>
    <w:rsid w:val="00353C86"/>
    <w:rsid w:val="003560AF"/>
    <w:rsid w:val="00357EFE"/>
    <w:rsid w:val="003600C0"/>
    <w:rsid w:val="00361CC4"/>
    <w:rsid w:val="00362983"/>
    <w:rsid w:val="00364B14"/>
    <w:rsid w:val="003663CA"/>
    <w:rsid w:val="00372DF9"/>
    <w:rsid w:val="003815A7"/>
    <w:rsid w:val="00382EE3"/>
    <w:rsid w:val="00385AD8"/>
    <w:rsid w:val="00386585"/>
    <w:rsid w:val="0038710F"/>
    <w:rsid w:val="00393285"/>
    <w:rsid w:val="0039372A"/>
    <w:rsid w:val="00393ED8"/>
    <w:rsid w:val="00394065"/>
    <w:rsid w:val="0039704E"/>
    <w:rsid w:val="003A0A75"/>
    <w:rsid w:val="003A5DCE"/>
    <w:rsid w:val="003A6659"/>
    <w:rsid w:val="003B09B5"/>
    <w:rsid w:val="003B4787"/>
    <w:rsid w:val="003B4CDD"/>
    <w:rsid w:val="003C5160"/>
    <w:rsid w:val="003C7F15"/>
    <w:rsid w:val="003C7F36"/>
    <w:rsid w:val="003D1127"/>
    <w:rsid w:val="003D3166"/>
    <w:rsid w:val="003E1580"/>
    <w:rsid w:val="003E4075"/>
    <w:rsid w:val="003F11AA"/>
    <w:rsid w:val="003F280F"/>
    <w:rsid w:val="003F320A"/>
    <w:rsid w:val="003F32E0"/>
    <w:rsid w:val="003F430A"/>
    <w:rsid w:val="003F51D3"/>
    <w:rsid w:val="003F6585"/>
    <w:rsid w:val="00400A7C"/>
    <w:rsid w:val="00401E98"/>
    <w:rsid w:val="0040534C"/>
    <w:rsid w:val="00412CF8"/>
    <w:rsid w:val="00416E38"/>
    <w:rsid w:val="00417A42"/>
    <w:rsid w:val="00420B00"/>
    <w:rsid w:val="00421801"/>
    <w:rsid w:val="004233FA"/>
    <w:rsid w:val="004249E3"/>
    <w:rsid w:val="00426338"/>
    <w:rsid w:val="00426634"/>
    <w:rsid w:val="00432CB6"/>
    <w:rsid w:val="0043525E"/>
    <w:rsid w:val="00447F9D"/>
    <w:rsid w:val="00450F30"/>
    <w:rsid w:val="00451827"/>
    <w:rsid w:val="0045263E"/>
    <w:rsid w:val="0045290D"/>
    <w:rsid w:val="004570D0"/>
    <w:rsid w:val="00457A5D"/>
    <w:rsid w:val="00460186"/>
    <w:rsid w:val="00460568"/>
    <w:rsid w:val="004615A2"/>
    <w:rsid w:val="00464272"/>
    <w:rsid w:val="00464FD8"/>
    <w:rsid w:val="00465372"/>
    <w:rsid w:val="00467492"/>
    <w:rsid w:val="004728F1"/>
    <w:rsid w:val="004730CE"/>
    <w:rsid w:val="0048618D"/>
    <w:rsid w:val="004878BD"/>
    <w:rsid w:val="0049525F"/>
    <w:rsid w:val="004A024A"/>
    <w:rsid w:val="004A16FC"/>
    <w:rsid w:val="004A52CB"/>
    <w:rsid w:val="004B1D0F"/>
    <w:rsid w:val="004B2DF9"/>
    <w:rsid w:val="004B5CD2"/>
    <w:rsid w:val="004C6106"/>
    <w:rsid w:val="004C6C4C"/>
    <w:rsid w:val="004C7257"/>
    <w:rsid w:val="004C732A"/>
    <w:rsid w:val="004D1154"/>
    <w:rsid w:val="004D4664"/>
    <w:rsid w:val="004D61F2"/>
    <w:rsid w:val="004D7AF4"/>
    <w:rsid w:val="004E0C62"/>
    <w:rsid w:val="004E1EB6"/>
    <w:rsid w:val="004E2EBE"/>
    <w:rsid w:val="004E5B3D"/>
    <w:rsid w:val="004F0FAC"/>
    <w:rsid w:val="004F1AA1"/>
    <w:rsid w:val="004F1AD2"/>
    <w:rsid w:val="004F372F"/>
    <w:rsid w:val="004F41F6"/>
    <w:rsid w:val="004F4CD5"/>
    <w:rsid w:val="004F57F3"/>
    <w:rsid w:val="0050065D"/>
    <w:rsid w:val="00501E48"/>
    <w:rsid w:val="0050203A"/>
    <w:rsid w:val="00502094"/>
    <w:rsid w:val="00502A89"/>
    <w:rsid w:val="00504733"/>
    <w:rsid w:val="00507A82"/>
    <w:rsid w:val="005127E0"/>
    <w:rsid w:val="00514F4D"/>
    <w:rsid w:val="005211AC"/>
    <w:rsid w:val="00521558"/>
    <w:rsid w:val="00533A5F"/>
    <w:rsid w:val="00534D4C"/>
    <w:rsid w:val="00547587"/>
    <w:rsid w:val="00561871"/>
    <w:rsid w:val="005625E3"/>
    <w:rsid w:val="00563875"/>
    <w:rsid w:val="00564579"/>
    <w:rsid w:val="00564B55"/>
    <w:rsid w:val="00565522"/>
    <w:rsid w:val="00565982"/>
    <w:rsid w:val="00570A94"/>
    <w:rsid w:val="00573EE9"/>
    <w:rsid w:val="00574BBC"/>
    <w:rsid w:val="00575766"/>
    <w:rsid w:val="00591E57"/>
    <w:rsid w:val="00593AFB"/>
    <w:rsid w:val="00594E40"/>
    <w:rsid w:val="005A12AC"/>
    <w:rsid w:val="005A2E21"/>
    <w:rsid w:val="005A3EE3"/>
    <w:rsid w:val="005A68DD"/>
    <w:rsid w:val="005A6AC6"/>
    <w:rsid w:val="005A7775"/>
    <w:rsid w:val="005B08BC"/>
    <w:rsid w:val="005B0F34"/>
    <w:rsid w:val="005B18CF"/>
    <w:rsid w:val="005B4736"/>
    <w:rsid w:val="005B5578"/>
    <w:rsid w:val="005B789C"/>
    <w:rsid w:val="005B7C8C"/>
    <w:rsid w:val="005C1B7A"/>
    <w:rsid w:val="005C3A7D"/>
    <w:rsid w:val="005C3DCA"/>
    <w:rsid w:val="005C51D1"/>
    <w:rsid w:val="005D397A"/>
    <w:rsid w:val="005D553A"/>
    <w:rsid w:val="005D6DBF"/>
    <w:rsid w:val="005E3991"/>
    <w:rsid w:val="005E4DDD"/>
    <w:rsid w:val="005F31C0"/>
    <w:rsid w:val="005F56C3"/>
    <w:rsid w:val="005F6F10"/>
    <w:rsid w:val="005F747A"/>
    <w:rsid w:val="00603852"/>
    <w:rsid w:val="00607B90"/>
    <w:rsid w:val="00610A6F"/>
    <w:rsid w:val="00617CFD"/>
    <w:rsid w:val="0062048D"/>
    <w:rsid w:val="00622450"/>
    <w:rsid w:val="00624695"/>
    <w:rsid w:val="006270C8"/>
    <w:rsid w:val="00630CAC"/>
    <w:rsid w:val="0063192B"/>
    <w:rsid w:val="00632B0F"/>
    <w:rsid w:val="00634301"/>
    <w:rsid w:val="00640569"/>
    <w:rsid w:val="0064383D"/>
    <w:rsid w:val="00645F45"/>
    <w:rsid w:val="00650A46"/>
    <w:rsid w:val="006517D3"/>
    <w:rsid w:val="0065295D"/>
    <w:rsid w:val="00653A5D"/>
    <w:rsid w:val="00655CBE"/>
    <w:rsid w:val="00657852"/>
    <w:rsid w:val="00662044"/>
    <w:rsid w:val="00663816"/>
    <w:rsid w:val="006655DA"/>
    <w:rsid w:val="00670037"/>
    <w:rsid w:val="00671FC0"/>
    <w:rsid w:val="00673F25"/>
    <w:rsid w:val="00674A50"/>
    <w:rsid w:val="00680651"/>
    <w:rsid w:val="00683173"/>
    <w:rsid w:val="006834AF"/>
    <w:rsid w:val="0068420F"/>
    <w:rsid w:val="006856E3"/>
    <w:rsid w:val="006872DD"/>
    <w:rsid w:val="00687F58"/>
    <w:rsid w:val="00690EC1"/>
    <w:rsid w:val="00694F76"/>
    <w:rsid w:val="006968F5"/>
    <w:rsid w:val="006974F1"/>
    <w:rsid w:val="006A34C3"/>
    <w:rsid w:val="006A4A95"/>
    <w:rsid w:val="006A6DC8"/>
    <w:rsid w:val="006B4F05"/>
    <w:rsid w:val="006C5211"/>
    <w:rsid w:val="006C58C7"/>
    <w:rsid w:val="006C59A0"/>
    <w:rsid w:val="006D07B3"/>
    <w:rsid w:val="006D1E6E"/>
    <w:rsid w:val="006D4D65"/>
    <w:rsid w:val="006D6CF3"/>
    <w:rsid w:val="006D7B19"/>
    <w:rsid w:val="006E1AFA"/>
    <w:rsid w:val="006E1C5B"/>
    <w:rsid w:val="006E348F"/>
    <w:rsid w:val="006E3E0A"/>
    <w:rsid w:val="006E6B09"/>
    <w:rsid w:val="006E7A6F"/>
    <w:rsid w:val="006E7CFD"/>
    <w:rsid w:val="006F0128"/>
    <w:rsid w:val="006F0A7D"/>
    <w:rsid w:val="006F0AA0"/>
    <w:rsid w:val="006F1611"/>
    <w:rsid w:val="006F2D90"/>
    <w:rsid w:val="006F34DC"/>
    <w:rsid w:val="00701D30"/>
    <w:rsid w:val="007026E6"/>
    <w:rsid w:val="00702F48"/>
    <w:rsid w:val="00705807"/>
    <w:rsid w:val="007077D4"/>
    <w:rsid w:val="00707FE7"/>
    <w:rsid w:val="00722044"/>
    <w:rsid w:val="00724CBB"/>
    <w:rsid w:val="0072538C"/>
    <w:rsid w:val="00725703"/>
    <w:rsid w:val="00731636"/>
    <w:rsid w:val="0073395E"/>
    <w:rsid w:val="007339D6"/>
    <w:rsid w:val="00740EB0"/>
    <w:rsid w:val="007411E0"/>
    <w:rsid w:val="00741395"/>
    <w:rsid w:val="007458CD"/>
    <w:rsid w:val="00750FA5"/>
    <w:rsid w:val="0075140B"/>
    <w:rsid w:val="007515FD"/>
    <w:rsid w:val="007536DA"/>
    <w:rsid w:val="00753D41"/>
    <w:rsid w:val="007612E1"/>
    <w:rsid w:val="00764BCB"/>
    <w:rsid w:val="00766920"/>
    <w:rsid w:val="0076772B"/>
    <w:rsid w:val="00772468"/>
    <w:rsid w:val="007729B1"/>
    <w:rsid w:val="007800C6"/>
    <w:rsid w:val="007805AE"/>
    <w:rsid w:val="00781C1B"/>
    <w:rsid w:val="007862EC"/>
    <w:rsid w:val="00790403"/>
    <w:rsid w:val="00793F79"/>
    <w:rsid w:val="00796265"/>
    <w:rsid w:val="0079684A"/>
    <w:rsid w:val="007971B0"/>
    <w:rsid w:val="007979A8"/>
    <w:rsid w:val="007A4F1C"/>
    <w:rsid w:val="007A6C74"/>
    <w:rsid w:val="007B01E3"/>
    <w:rsid w:val="007B0846"/>
    <w:rsid w:val="007B26DF"/>
    <w:rsid w:val="007B2938"/>
    <w:rsid w:val="007B7776"/>
    <w:rsid w:val="007C1E2F"/>
    <w:rsid w:val="007C27C0"/>
    <w:rsid w:val="007C46AD"/>
    <w:rsid w:val="007C55B5"/>
    <w:rsid w:val="007C5D22"/>
    <w:rsid w:val="007E31F7"/>
    <w:rsid w:val="007E4D89"/>
    <w:rsid w:val="007E7573"/>
    <w:rsid w:val="007F3402"/>
    <w:rsid w:val="007F5BEB"/>
    <w:rsid w:val="007F6D7D"/>
    <w:rsid w:val="008051AA"/>
    <w:rsid w:val="00805404"/>
    <w:rsid w:val="0080584D"/>
    <w:rsid w:val="00806C3F"/>
    <w:rsid w:val="00806F89"/>
    <w:rsid w:val="008109BA"/>
    <w:rsid w:val="008145DB"/>
    <w:rsid w:val="00814711"/>
    <w:rsid w:val="00814A86"/>
    <w:rsid w:val="008159DC"/>
    <w:rsid w:val="00820955"/>
    <w:rsid w:val="00823554"/>
    <w:rsid w:val="00823811"/>
    <w:rsid w:val="0083266D"/>
    <w:rsid w:val="00835F5F"/>
    <w:rsid w:val="00840109"/>
    <w:rsid w:val="00842717"/>
    <w:rsid w:val="0084735E"/>
    <w:rsid w:val="00850678"/>
    <w:rsid w:val="008522AE"/>
    <w:rsid w:val="008525E7"/>
    <w:rsid w:val="008528D2"/>
    <w:rsid w:val="008656A2"/>
    <w:rsid w:val="00870726"/>
    <w:rsid w:val="00870E06"/>
    <w:rsid w:val="008739FA"/>
    <w:rsid w:val="00876DEB"/>
    <w:rsid w:val="00881DF1"/>
    <w:rsid w:val="008822BA"/>
    <w:rsid w:val="0089141B"/>
    <w:rsid w:val="00894A3F"/>
    <w:rsid w:val="00896E01"/>
    <w:rsid w:val="008A2A6D"/>
    <w:rsid w:val="008A5901"/>
    <w:rsid w:val="008A5919"/>
    <w:rsid w:val="008A7F6B"/>
    <w:rsid w:val="008B0242"/>
    <w:rsid w:val="008B0251"/>
    <w:rsid w:val="008B1027"/>
    <w:rsid w:val="008B2818"/>
    <w:rsid w:val="008B2BAD"/>
    <w:rsid w:val="008B2FBA"/>
    <w:rsid w:val="008B4ACB"/>
    <w:rsid w:val="008B71DE"/>
    <w:rsid w:val="008B76AE"/>
    <w:rsid w:val="008B79A8"/>
    <w:rsid w:val="008B7E17"/>
    <w:rsid w:val="008C3C1E"/>
    <w:rsid w:val="008C5840"/>
    <w:rsid w:val="008C6C78"/>
    <w:rsid w:val="008D0916"/>
    <w:rsid w:val="008D0BB9"/>
    <w:rsid w:val="008D15F5"/>
    <w:rsid w:val="008D2109"/>
    <w:rsid w:val="008D4B13"/>
    <w:rsid w:val="008D5285"/>
    <w:rsid w:val="008D6C64"/>
    <w:rsid w:val="008E2DF0"/>
    <w:rsid w:val="008E3755"/>
    <w:rsid w:val="008E424D"/>
    <w:rsid w:val="008E4B18"/>
    <w:rsid w:val="008E5605"/>
    <w:rsid w:val="008E57FD"/>
    <w:rsid w:val="008E592A"/>
    <w:rsid w:val="008E7311"/>
    <w:rsid w:val="008F1B3C"/>
    <w:rsid w:val="008F391B"/>
    <w:rsid w:val="008F49CE"/>
    <w:rsid w:val="008F5791"/>
    <w:rsid w:val="008F73A9"/>
    <w:rsid w:val="008F7ABB"/>
    <w:rsid w:val="009071AF"/>
    <w:rsid w:val="009079D8"/>
    <w:rsid w:val="009102E5"/>
    <w:rsid w:val="00910C6A"/>
    <w:rsid w:val="009115A9"/>
    <w:rsid w:val="00914BF0"/>
    <w:rsid w:val="00914D9A"/>
    <w:rsid w:val="00921C02"/>
    <w:rsid w:val="00924BB2"/>
    <w:rsid w:val="00930393"/>
    <w:rsid w:val="00931888"/>
    <w:rsid w:val="00932C67"/>
    <w:rsid w:val="00935CDB"/>
    <w:rsid w:val="00945698"/>
    <w:rsid w:val="00947609"/>
    <w:rsid w:val="00950383"/>
    <w:rsid w:val="00950E2D"/>
    <w:rsid w:val="00952B1A"/>
    <w:rsid w:val="00954B96"/>
    <w:rsid w:val="009561DD"/>
    <w:rsid w:val="00956373"/>
    <w:rsid w:val="009568F4"/>
    <w:rsid w:val="00957039"/>
    <w:rsid w:val="00962023"/>
    <w:rsid w:val="00962D4D"/>
    <w:rsid w:val="00964F8F"/>
    <w:rsid w:val="00965003"/>
    <w:rsid w:val="00966DC0"/>
    <w:rsid w:val="00977798"/>
    <w:rsid w:val="00980DFD"/>
    <w:rsid w:val="00993890"/>
    <w:rsid w:val="00997A3B"/>
    <w:rsid w:val="00997EF8"/>
    <w:rsid w:val="009A0B2C"/>
    <w:rsid w:val="009A134B"/>
    <w:rsid w:val="009A2E58"/>
    <w:rsid w:val="009B08DD"/>
    <w:rsid w:val="009B090B"/>
    <w:rsid w:val="009B0B4B"/>
    <w:rsid w:val="009B1451"/>
    <w:rsid w:val="009B33AF"/>
    <w:rsid w:val="009B76EA"/>
    <w:rsid w:val="009B7AC9"/>
    <w:rsid w:val="009C08AB"/>
    <w:rsid w:val="009C0DBE"/>
    <w:rsid w:val="009C2252"/>
    <w:rsid w:val="009C33FF"/>
    <w:rsid w:val="009C5323"/>
    <w:rsid w:val="009C58AD"/>
    <w:rsid w:val="009C5A93"/>
    <w:rsid w:val="009C7295"/>
    <w:rsid w:val="009E1396"/>
    <w:rsid w:val="009E3B06"/>
    <w:rsid w:val="009E3DF4"/>
    <w:rsid w:val="009E58AE"/>
    <w:rsid w:val="009E6832"/>
    <w:rsid w:val="009E6E36"/>
    <w:rsid w:val="009F1ABD"/>
    <w:rsid w:val="009F2FBA"/>
    <w:rsid w:val="009F4635"/>
    <w:rsid w:val="00A01D01"/>
    <w:rsid w:val="00A027E6"/>
    <w:rsid w:val="00A04E91"/>
    <w:rsid w:val="00A06D36"/>
    <w:rsid w:val="00A07615"/>
    <w:rsid w:val="00A174A1"/>
    <w:rsid w:val="00A27227"/>
    <w:rsid w:val="00A30438"/>
    <w:rsid w:val="00A31DDD"/>
    <w:rsid w:val="00A32EDC"/>
    <w:rsid w:val="00A33CF8"/>
    <w:rsid w:val="00A34550"/>
    <w:rsid w:val="00A35ECC"/>
    <w:rsid w:val="00A36A33"/>
    <w:rsid w:val="00A37CE3"/>
    <w:rsid w:val="00A37D75"/>
    <w:rsid w:val="00A40E58"/>
    <w:rsid w:val="00A430AD"/>
    <w:rsid w:val="00A473D6"/>
    <w:rsid w:val="00A52621"/>
    <w:rsid w:val="00A5550D"/>
    <w:rsid w:val="00A573DC"/>
    <w:rsid w:val="00A5770E"/>
    <w:rsid w:val="00A653D5"/>
    <w:rsid w:val="00A718B9"/>
    <w:rsid w:val="00A71D2C"/>
    <w:rsid w:val="00A80460"/>
    <w:rsid w:val="00A80F57"/>
    <w:rsid w:val="00A8141C"/>
    <w:rsid w:val="00A81872"/>
    <w:rsid w:val="00A8201E"/>
    <w:rsid w:val="00A822C7"/>
    <w:rsid w:val="00A8593B"/>
    <w:rsid w:val="00A85CFB"/>
    <w:rsid w:val="00A94DA2"/>
    <w:rsid w:val="00A95A2B"/>
    <w:rsid w:val="00AA2F0E"/>
    <w:rsid w:val="00AA46B2"/>
    <w:rsid w:val="00AA5870"/>
    <w:rsid w:val="00AA7126"/>
    <w:rsid w:val="00AB1856"/>
    <w:rsid w:val="00AB3F1A"/>
    <w:rsid w:val="00AB4B94"/>
    <w:rsid w:val="00AB5AD0"/>
    <w:rsid w:val="00AB7505"/>
    <w:rsid w:val="00AC2BDC"/>
    <w:rsid w:val="00AC2E20"/>
    <w:rsid w:val="00AC2EB4"/>
    <w:rsid w:val="00AC3B71"/>
    <w:rsid w:val="00AC4ACD"/>
    <w:rsid w:val="00AD0FEF"/>
    <w:rsid w:val="00AD1E1A"/>
    <w:rsid w:val="00AD59CB"/>
    <w:rsid w:val="00AD5B08"/>
    <w:rsid w:val="00AE28EA"/>
    <w:rsid w:val="00AE38A9"/>
    <w:rsid w:val="00AF00D6"/>
    <w:rsid w:val="00AF0293"/>
    <w:rsid w:val="00AF4ED6"/>
    <w:rsid w:val="00AF5116"/>
    <w:rsid w:val="00B01A20"/>
    <w:rsid w:val="00B01C90"/>
    <w:rsid w:val="00B02322"/>
    <w:rsid w:val="00B050B1"/>
    <w:rsid w:val="00B1076D"/>
    <w:rsid w:val="00B111BA"/>
    <w:rsid w:val="00B13631"/>
    <w:rsid w:val="00B144A3"/>
    <w:rsid w:val="00B148C9"/>
    <w:rsid w:val="00B14A86"/>
    <w:rsid w:val="00B16292"/>
    <w:rsid w:val="00B166AB"/>
    <w:rsid w:val="00B25A71"/>
    <w:rsid w:val="00B33B48"/>
    <w:rsid w:val="00B351D2"/>
    <w:rsid w:val="00B35766"/>
    <w:rsid w:val="00B37B74"/>
    <w:rsid w:val="00B44416"/>
    <w:rsid w:val="00B44521"/>
    <w:rsid w:val="00B465DC"/>
    <w:rsid w:val="00B505B6"/>
    <w:rsid w:val="00B51E6B"/>
    <w:rsid w:val="00B52F30"/>
    <w:rsid w:val="00B54D2F"/>
    <w:rsid w:val="00B56AC7"/>
    <w:rsid w:val="00B60137"/>
    <w:rsid w:val="00B6405D"/>
    <w:rsid w:val="00B66355"/>
    <w:rsid w:val="00B70F06"/>
    <w:rsid w:val="00B72689"/>
    <w:rsid w:val="00B72A02"/>
    <w:rsid w:val="00B740DA"/>
    <w:rsid w:val="00B751FD"/>
    <w:rsid w:val="00B7535E"/>
    <w:rsid w:val="00B761B6"/>
    <w:rsid w:val="00B80D70"/>
    <w:rsid w:val="00B837FE"/>
    <w:rsid w:val="00B91DDF"/>
    <w:rsid w:val="00B92514"/>
    <w:rsid w:val="00B939A5"/>
    <w:rsid w:val="00BA2129"/>
    <w:rsid w:val="00BA281B"/>
    <w:rsid w:val="00BA3289"/>
    <w:rsid w:val="00BA5FAA"/>
    <w:rsid w:val="00BB2DE5"/>
    <w:rsid w:val="00BB6F60"/>
    <w:rsid w:val="00BC058E"/>
    <w:rsid w:val="00BC1C88"/>
    <w:rsid w:val="00BC2C19"/>
    <w:rsid w:val="00BC6196"/>
    <w:rsid w:val="00BC6556"/>
    <w:rsid w:val="00BC7C4C"/>
    <w:rsid w:val="00BD1B5F"/>
    <w:rsid w:val="00BD380E"/>
    <w:rsid w:val="00BD7BA9"/>
    <w:rsid w:val="00BE1AB6"/>
    <w:rsid w:val="00BE488A"/>
    <w:rsid w:val="00BF02B9"/>
    <w:rsid w:val="00BF3B42"/>
    <w:rsid w:val="00BF78FA"/>
    <w:rsid w:val="00C05B70"/>
    <w:rsid w:val="00C109EE"/>
    <w:rsid w:val="00C16792"/>
    <w:rsid w:val="00C16D19"/>
    <w:rsid w:val="00C2481C"/>
    <w:rsid w:val="00C324B4"/>
    <w:rsid w:val="00C33393"/>
    <w:rsid w:val="00C34161"/>
    <w:rsid w:val="00C350D2"/>
    <w:rsid w:val="00C357F2"/>
    <w:rsid w:val="00C40241"/>
    <w:rsid w:val="00C41F5A"/>
    <w:rsid w:val="00C429B3"/>
    <w:rsid w:val="00C44D71"/>
    <w:rsid w:val="00C44F3C"/>
    <w:rsid w:val="00C472FC"/>
    <w:rsid w:val="00C47787"/>
    <w:rsid w:val="00C4779B"/>
    <w:rsid w:val="00C52DAC"/>
    <w:rsid w:val="00C52EDD"/>
    <w:rsid w:val="00C54519"/>
    <w:rsid w:val="00C55010"/>
    <w:rsid w:val="00C56BFB"/>
    <w:rsid w:val="00C60F3B"/>
    <w:rsid w:val="00C612FB"/>
    <w:rsid w:val="00C62D4F"/>
    <w:rsid w:val="00C65F5E"/>
    <w:rsid w:val="00C660AF"/>
    <w:rsid w:val="00C7480C"/>
    <w:rsid w:val="00C766D1"/>
    <w:rsid w:val="00C86199"/>
    <w:rsid w:val="00C86F0E"/>
    <w:rsid w:val="00C92132"/>
    <w:rsid w:val="00C93E02"/>
    <w:rsid w:val="00C977FF"/>
    <w:rsid w:val="00CA0464"/>
    <w:rsid w:val="00CA4169"/>
    <w:rsid w:val="00CA65E7"/>
    <w:rsid w:val="00CB0198"/>
    <w:rsid w:val="00CB0C27"/>
    <w:rsid w:val="00CB21D3"/>
    <w:rsid w:val="00CB2EA2"/>
    <w:rsid w:val="00CB464C"/>
    <w:rsid w:val="00CB6937"/>
    <w:rsid w:val="00CB7CEA"/>
    <w:rsid w:val="00CC07D3"/>
    <w:rsid w:val="00CC0E40"/>
    <w:rsid w:val="00CC5A3E"/>
    <w:rsid w:val="00CC5E7D"/>
    <w:rsid w:val="00CC686E"/>
    <w:rsid w:val="00CC74E4"/>
    <w:rsid w:val="00CD671A"/>
    <w:rsid w:val="00CD69C8"/>
    <w:rsid w:val="00CE2E3D"/>
    <w:rsid w:val="00CE4479"/>
    <w:rsid w:val="00CE6311"/>
    <w:rsid w:val="00D0069C"/>
    <w:rsid w:val="00D032DC"/>
    <w:rsid w:val="00D03866"/>
    <w:rsid w:val="00D03BB4"/>
    <w:rsid w:val="00D116BF"/>
    <w:rsid w:val="00D122A7"/>
    <w:rsid w:val="00D12CEE"/>
    <w:rsid w:val="00D14716"/>
    <w:rsid w:val="00D155C4"/>
    <w:rsid w:val="00D15754"/>
    <w:rsid w:val="00D21C9B"/>
    <w:rsid w:val="00D24658"/>
    <w:rsid w:val="00D249FF"/>
    <w:rsid w:val="00D24BE9"/>
    <w:rsid w:val="00D25DAF"/>
    <w:rsid w:val="00D25E97"/>
    <w:rsid w:val="00D26304"/>
    <w:rsid w:val="00D33063"/>
    <w:rsid w:val="00D331D3"/>
    <w:rsid w:val="00D33EA0"/>
    <w:rsid w:val="00D344FB"/>
    <w:rsid w:val="00D41291"/>
    <w:rsid w:val="00D42960"/>
    <w:rsid w:val="00D473CB"/>
    <w:rsid w:val="00D47D2A"/>
    <w:rsid w:val="00D517E8"/>
    <w:rsid w:val="00D52806"/>
    <w:rsid w:val="00D54970"/>
    <w:rsid w:val="00D55220"/>
    <w:rsid w:val="00D57A55"/>
    <w:rsid w:val="00D60565"/>
    <w:rsid w:val="00D624AC"/>
    <w:rsid w:val="00D637F2"/>
    <w:rsid w:val="00D6393D"/>
    <w:rsid w:val="00D63B58"/>
    <w:rsid w:val="00D63C03"/>
    <w:rsid w:val="00D72A1B"/>
    <w:rsid w:val="00D83891"/>
    <w:rsid w:val="00D84C01"/>
    <w:rsid w:val="00D87226"/>
    <w:rsid w:val="00D876D8"/>
    <w:rsid w:val="00D92098"/>
    <w:rsid w:val="00DA084A"/>
    <w:rsid w:val="00DA185F"/>
    <w:rsid w:val="00DB4974"/>
    <w:rsid w:val="00DB7001"/>
    <w:rsid w:val="00DC158C"/>
    <w:rsid w:val="00DC21B9"/>
    <w:rsid w:val="00DC22A0"/>
    <w:rsid w:val="00DC7334"/>
    <w:rsid w:val="00DC7A61"/>
    <w:rsid w:val="00DC7CBB"/>
    <w:rsid w:val="00DD49D6"/>
    <w:rsid w:val="00DE1C7C"/>
    <w:rsid w:val="00DE415F"/>
    <w:rsid w:val="00DE4D61"/>
    <w:rsid w:val="00DE5736"/>
    <w:rsid w:val="00DE6802"/>
    <w:rsid w:val="00DE6F43"/>
    <w:rsid w:val="00DF0025"/>
    <w:rsid w:val="00DF1886"/>
    <w:rsid w:val="00DF26E9"/>
    <w:rsid w:val="00DF487C"/>
    <w:rsid w:val="00DF5806"/>
    <w:rsid w:val="00E0060B"/>
    <w:rsid w:val="00E040BD"/>
    <w:rsid w:val="00E12D4E"/>
    <w:rsid w:val="00E2221C"/>
    <w:rsid w:val="00E254E0"/>
    <w:rsid w:val="00E30747"/>
    <w:rsid w:val="00E30D0E"/>
    <w:rsid w:val="00E3155F"/>
    <w:rsid w:val="00E36817"/>
    <w:rsid w:val="00E3734F"/>
    <w:rsid w:val="00E41A84"/>
    <w:rsid w:val="00E42F1A"/>
    <w:rsid w:val="00E45D98"/>
    <w:rsid w:val="00E476BF"/>
    <w:rsid w:val="00E47C9E"/>
    <w:rsid w:val="00E52846"/>
    <w:rsid w:val="00E611FF"/>
    <w:rsid w:val="00E624EE"/>
    <w:rsid w:val="00E631B8"/>
    <w:rsid w:val="00E63ABE"/>
    <w:rsid w:val="00E650B4"/>
    <w:rsid w:val="00E67388"/>
    <w:rsid w:val="00E71384"/>
    <w:rsid w:val="00E72585"/>
    <w:rsid w:val="00E7341C"/>
    <w:rsid w:val="00E80C56"/>
    <w:rsid w:val="00E814C3"/>
    <w:rsid w:val="00E83C5A"/>
    <w:rsid w:val="00E910FC"/>
    <w:rsid w:val="00E94058"/>
    <w:rsid w:val="00E94AED"/>
    <w:rsid w:val="00E94B97"/>
    <w:rsid w:val="00E95F8B"/>
    <w:rsid w:val="00EA1756"/>
    <w:rsid w:val="00EA228B"/>
    <w:rsid w:val="00EA299B"/>
    <w:rsid w:val="00EA4731"/>
    <w:rsid w:val="00EA49B7"/>
    <w:rsid w:val="00EA6AD6"/>
    <w:rsid w:val="00EB2C2D"/>
    <w:rsid w:val="00EC1EFE"/>
    <w:rsid w:val="00EC5D5A"/>
    <w:rsid w:val="00EC69D1"/>
    <w:rsid w:val="00ED2136"/>
    <w:rsid w:val="00ED5E8F"/>
    <w:rsid w:val="00EE28B3"/>
    <w:rsid w:val="00EE309C"/>
    <w:rsid w:val="00EE353E"/>
    <w:rsid w:val="00EE4369"/>
    <w:rsid w:val="00EE760F"/>
    <w:rsid w:val="00EF15FF"/>
    <w:rsid w:val="00EF2930"/>
    <w:rsid w:val="00F02A2E"/>
    <w:rsid w:val="00F039A1"/>
    <w:rsid w:val="00F05013"/>
    <w:rsid w:val="00F1066C"/>
    <w:rsid w:val="00F10D0D"/>
    <w:rsid w:val="00F11B12"/>
    <w:rsid w:val="00F12982"/>
    <w:rsid w:val="00F171DA"/>
    <w:rsid w:val="00F17F0B"/>
    <w:rsid w:val="00F25857"/>
    <w:rsid w:val="00F30C02"/>
    <w:rsid w:val="00F31840"/>
    <w:rsid w:val="00F3236A"/>
    <w:rsid w:val="00F33E90"/>
    <w:rsid w:val="00F346E4"/>
    <w:rsid w:val="00F36180"/>
    <w:rsid w:val="00F370FB"/>
    <w:rsid w:val="00F40DF9"/>
    <w:rsid w:val="00F42C01"/>
    <w:rsid w:val="00F53458"/>
    <w:rsid w:val="00F571A2"/>
    <w:rsid w:val="00F61ADA"/>
    <w:rsid w:val="00F626FD"/>
    <w:rsid w:val="00F63A16"/>
    <w:rsid w:val="00F6414D"/>
    <w:rsid w:val="00F651A4"/>
    <w:rsid w:val="00F71061"/>
    <w:rsid w:val="00F7223B"/>
    <w:rsid w:val="00F76106"/>
    <w:rsid w:val="00F96AEB"/>
    <w:rsid w:val="00FA1C97"/>
    <w:rsid w:val="00FA5551"/>
    <w:rsid w:val="00FA6527"/>
    <w:rsid w:val="00FB0E97"/>
    <w:rsid w:val="00FB1023"/>
    <w:rsid w:val="00FB1911"/>
    <w:rsid w:val="00FB5EA0"/>
    <w:rsid w:val="00FC0C22"/>
    <w:rsid w:val="00FC18F2"/>
    <w:rsid w:val="00FC5838"/>
    <w:rsid w:val="00FC7A30"/>
    <w:rsid w:val="00FD58CF"/>
    <w:rsid w:val="00FE17A3"/>
    <w:rsid w:val="00FE3ACD"/>
    <w:rsid w:val="00FE5FA2"/>
    <w:rsid w:val="00FE617B"/>
    <w:rsid w:val="00FE7CD8"/>
    <w:rsid w:val="00FE7D8A"/>
    <w:rsid w:val="00FF1FBB"/>
    <w:rsid w:val="00FF674B"/>
    <w:rsid w:val="00FF6B9D"/>
    <w:rsid w:val="00FF7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60"/>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9A8"/>
    <w:rPr>
      <w:rFonts w:ascii="Times New Roman" w:eastAsia="Calibri" w:hAnsi="Times New Roman" w:cs="Times New Roman"/>
      <w:lang w:val="bs-Latn-BA"/>
    </w:rPr>
  </w:style>
  <w:style w:type="paragraph" w:styleId="Heading1">
    <w:name w:val="heading 1"/>
    <w:basedOn w:val="Normal"/>
    <w:next w:val="Normal"/>
    <w:link w:val="Heading1Char"/>
    <w:uiPriority w:val="99"/>
    <w:qFormat/>
    <w:rsid w:val="00705807"/>
    <w:pPr>
      <w:keepNext/>
      <w:spacing w:before="240" w:line="276" w:lineRule="auto"/>
      <w:outlineLvl w:val="0"/>
    </w:pPr>
    <w:rPr>
      <w:rFonts w:eastAsia="Times New Roman"/>
      <w:b/>
      <w:bCs/>
      <w:kern w:val="32"/>
      <w:sz w:val="32"/>
      <w:szCs w:val="32"/>
    </w:rPr>
  </w:style>
  <w:style w:type="paragraph" w:styleId="Heading2">
    <w:name w:val="heading 2"/>
    <w:basedOn w:val="Normal"/>
    <w:next w:val="Normal"/>
    <w:link w:val="Heading2Char"/>
    <w:autoRedefine/>
    <w:uiPriority w:val="99"/>
    <w:qFormat/>
    <w:rsid w:val="00931888"/>
    <w:pPr>
      <w:keepNext/>
      <w:spacing w:before="240" w:after="120"/>
      <w:outlineLvl w:val="1"/>
    </w:pPr>
    <w:rPr>
      <w:rFonts w:eastAsia="Times New Roman"/>
      <w:b/>
      <w:bCs/>
      <w:iCs/>
      <w:color w:val="5B9BD5" w:themeColor="accent1"/>
      <w:szCs w:val="32"/>
      <w:lang w:eastAsia="ar-SA"/>
    </w:rPr>
  </w:style>
  <w:style w:type="paragraph" w:styleId="Heading3">
    <w:name w:val="heading 3"/>
    <w:basedOn w:val="Normal"/>
    <w:next w:val="Normal"/>
    <w:link w:val="Heading3Char"/>
    <w:uiPriority w:val="99"/>
    <w:qFormat/>
    <w:rsid w:val="00705807"/>
    <w:pPr>
      <w:keepNext/>
      <w:spacing w:before="240" w:line="276" w:lineRule="auto"/>
      <w:outlineLvl w:val="2"/>
    </w:pPr>
    <w:rPr>
      <w:rFonts w:eastAsia="Times New Roman"/>
      <w:b/>
      <w:bCs/>
      <w:szCs w:val="26"/>
    </w:rPr>
  </w:style>
  <w:style w:type="paragraph" w:styleId="Heading4">
    <w:name w:val="heading 4"/>
    <w:basedOn w:val="Normal"/>
    <w:next w:val="Normal"/>
    <w:link w:val="Heading4Char"/>
    <w:uiPriority w:val="9"/>
    <w:unhideWhenUsed/>
    <w:qFormat/>
    <w:rsid w:val="001F3520"/>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203161"/>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A0A75"/>
    <w:rPr>
      <w:rFonts w:ascii="Times New Roman" w:eastAsia="Times New Roman" w:hAnsi="Times New Roman" w:cs="Times New Roman"/>
      <w:b/>
      <w:bCs/>
      <w:kern w:val="32"/>
      <w:sz w:val="32"/>
      <w:szCs w:val="32"/>
      <w:lang w:val="bs-Latn-BA"/>
    </w:rPr>
  </w:style>
  <w:style w:type="character" w:customStyle="1" w:styleId="Heading2Char">
    <w:name w:val="Heading 2 Char"/>
    <w:basedOn w:val="DefaultParagraphFont"/>
    <w:link w:val="Heading2"/>
    <w:uiPriority w:val="99"/>
    <w:rsid w:val="00931888"/>
    <w:rPr>
      <w:rFonts w:ascii="Times New Roman" w:eastAsia="Times New Roman" w:hAnsi="Times New Roman" w:cs="Times New Roman"/>
      <w:b/>
      <w:bCs/>
      <w:iCs/>
      <w:color w:val="5B9BD5" w:themeColor="accent1"/>
      <w:szCs w:val="32"/>
      <w:lang w:val="bs-Latn-BA" w:eastAsia="ar-SA"/>
    </w:rPr>
  </w:style>
  <w:style w:type="character" w:customStyle="1" w:styleId="Heading3Char">
    <w:name w:val="Heading 3 Char"/>
    <w:basedOn w:val="DefaultParagraphFont"/>
    <w:link w:val="Heading3"/>
    <w:uiPriority w:val="99"/>
    <w:rsid w:val="003A0A75"/>
    <w:rPr>
      <w:rFonts w:ascii="Times New Roman" w:eastAsia="Times New Roman" w:hAnsi="Times New Roman" w:cs="Times New Roman"/>
      <w:b/>
      <w:bCs/>
      <w:sz w:val="24"/>
      <w:szCs w:val="26"/>
      <w:lang w:val="bs-Latn-BA"/>
    </w:rPr>
  </w:style>
  <w:style w:type="paragraph" w:styleId="Footer">
    <w:name w:val="footer"/>
    <w:basedOn w:val="Normal"/>
    <w:link w:val="FooterChar"/>
    <w:uiPriority w:val="99"/>
    <w:unhideWhenUsed/>
    <w:rsid w:val="00881DF1"/>
    <w:pPr>
      <w:tabs>
        <w:tab w:val="center" w:pos="4680"/>
        <w:tab w:val="right" w:pos="9360"/>
      </w:tabs>
    </w:pPr>
  </w:style>
  <w:style w:type="character" w:customStyle="1" w:styleId="FooterChar">
    <w:name w:val="Footer Char"/>
    <w:basedOn w:val="DefaultParagraphFont"/>
    <w:link w:val="Footer"/>
    <w:uiPriority w:val="99"/>
    <w:rsid w:val="00881DF1"/>
    <w:rPr>
      <w:rFonts w:ascii="Calibri" w:eastAsia="Calibri" w:hAnsi="Calibri" w:cs="Times New Roman"/>
      <w:lang w:val="sr-Latn-BA"/>
    </w:rPr>
  </w:style>
  <w:style w:type="character" w:styleId="CommentReference">
    <w:name w:val="annotation reference"/>
    <w:uiPriority w:val="99"/>
    <w:unhideWhenUsed/>
    <w:rsid w:val="00881DF1"/>
    <w:rPr>
      <w:sz w:val="16"/>
      <w:szCs w:val="16"/>
    </w:rPr>
  </w:style>
  <w:style w:type="paragraph" w:styleId="CommentText">
    <w:name w:val="annotation text"/>
    <w:basedOn w:val="Normal"/>
    <w:link w:val="CommentTextChar"/>
    <w:uiPriority w:val="99"/>
    <w:unhideWhenUsed/>
    <w:rsid w:val="00881DF1"/>
    <w:rPr>
      <w:sz w:val="20"/>
      <w:szCs w:val="20"/>
    </w:rPr>
  </w:style>
  <w:style w:type="character" w:customStyle="1" w:styleId="CommentTextChar">
    <w:name w:val="Comment Text Char"/>
    <w:basedOn w:val="DefaultParagraphFont"/>
    <w:link w:val="CommentText"/>
    <w:uiPriority w:val="99"/>
    <w:rsid w:val="00881DF1"/>
    <w:rPr>
      <w:rFonts w:ascii="Calibri" w:eastAsia="Calibri" w:hAnsi="Calibri" w:cs="Times New Roman"/>
      <w:sz w:val="20"/>
      <w:szCs w:val="20"/>
      <w:lang w:val="sr-Latn-BA"/>
    </w:rPr>
  </w:style>
  <w:style w:type="paragraph" w:styleId="ListParagraph">
    <w:name w:val="List Paragraph"/>
    <w:aliases w:val="List Paragraph (numbered (a)),List Paragraph Char Char Char,Use Case List Paragraph,List Paragraph2"/>
    <w:basedOn w:val="Normal"/>
    <w:link w:val="ListParagraphChar"/>
    <w:uiPriority w:val="34"/>
    <w:qFormat/>
    <w:rsid w:val="00F626FD"/>
    <w:pPr>
      <w:numPr>
        <w:numId w:val="17"/>
      </w:numPr>
      <w:contextualSpacing/>
    </w:pPr>
    <w:rPr>
      <w:rFonts w:eastAsia="Times New Roman"/>
      <w:lang w:val="hr-BA"/>
    </w:rPr>
  </w:style>
  <w:style w:type="character" w:customStyle="1" w:styleId="ListParagraphChar">
    <w:name w:val="List Paragraph Char"/>
    <w:aliases w:val="List Paragraph (numbered (a)) Char,List Paragraph Char Char Char Char,Use Case List Paragraph Char,List Paragraph2 Char"/>
    <w:link w:val="ListParagraph"/>
    <w:uiPriority w:val="34"/>
    <w:qFormat/>
    <w:locked/>
    <w:rsid w:val="00F626FD"/>
    <w:rPr>
      <w:rFonts w:ascii="Times New Roman" w:eastAsia="Times New Roman" w:hAnsi="Times New Roman" w:cs="Times New Roman"/>
      <w:sz w:val="24"/>
      <w:lang w:val="hr-BA"/>
    </w:rPr>
  </w:style>
  <w:style w:type="paragraph" w:styleId="BalloonText">
    <w:name w:val="Balloon Text"/>
    <w:basedOn w:val="Normal"/>
    <w:link w:val="BalloonTextChar"/>
    <w:uiPriority w:val="99"/>
    <w:semiHidden/>
    <w:unhideWhenUsed/>
    <w:rsid w:val="00881D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DF1"/>
    <w:rPr>
      <w:rFonts w:ascii="Segoe UI" w:eastAsia="Calibri" w:hAnsi="Segoe UI" w:cs="Segoe UI"/>
      <w:sz w:val="18"/>
      <w:szCs w:val="18"/>
      <w:lang w:val="sr-Latn-BA"/>
    </w:rPr>
  </w:style>
  <w:style w:type="paragraph" w:styleId="CommentSubject">
    <w:name w:val="annotation subject"/>
    <w:basedOn w:val="CommentText"/>
    <w:next w:val="CommentText"/>
    <w:link w:val="CommentSubjectChar"/>
    <w:uiPriority w:val="99"/>
    <w:semiHidden/>
    <w:unhideWhenUsed/>
    <w:rsid w:val="00CC07D3"/>
    <w:rPr>
      <w:b/>
      <w:bCs/>
    </w:rPr>
  </w:style>
  <w:style w:type="character" w:customStyle="1" w:styleId="CommentSubjectChar">
    <w:name w:val="Comment Subject Char"/>
    <w:basedOn w:val="CommentTextChar"/>
    <w:link w:val="CommentSubject"/>
    <w:uiPriority w:val="99"/>
    <w:semiHidden/>
    <w:rsid w:val="00CC07D3"/>
    <w:rPr>
      <w:rFonts w:ascii="Calibri" w:eastAsia="Calibri" w:hAnsi="Calibri" w:cs="Times New Roman"/>
      <w:b/>
      <w:bCs/>
      <w:sz w:val="20"/>
      <w:szCs w:val="20"/>
      <w:lang w:val="sr-Latn-BA"/>
    </w:rPr>
  </w:style>
  <w:style w:type="paragraph" w:customStyle="1" w:styleId="Bezproreda">
    <w:name w:val="Bez proreda"/>
    <w:rsid w:val="00671FC0"/>
    <w:pPr>
      <w:suppressAutoHyphens/>
      <w:spacing w:after="0"/>
    </w:pPr>
    <w:rPr>
      <w:rFonts w:ascii="Calibri" w:eastAsia="Times New Roman" w:hAnsi="Calibri" w:cs="Calibri"/>
      <w:lang w:eastAsia="ar-SA"/>
    </w:rPr>
  </w:style>
  <w:style w:type="paragraph" w:styleId="FootnoteText">
    <w:name w:val="footnote text"/>
    <w:aliases w:val=" Char1,Footnote Text Char Char Char,Footnote Text Char Char,single space,footnote text,footnote text Char Char, Char Char Char Char,Footnote Text Blue,Footnote Text1,Char,Tegn1,Tegn1 Char,ft"/>
    <w:basedOn w:val="Normal"/>
    <w:link w:val="FootnoteTextChar"/>
    <w:unhideWhenUsed/>
    <w:rsid w:val="0075140B"/>
    <w:rPr>
      <w:sz w:val="20"/>
      <w:szCs w:val="20"/>
    </w:rPr>
  </w:style>
  <w:style w:type="character" w:customStyle="1" w:styleId="FootnoteTextChar">
    <w:name w:val="Footnote Text Char"/>
    <w:aliases w:val=" Char1 Char,Footnote Text Char Char Char Char,Footnote Text Char Char Char1,single space Char,footnote text Char,footnote text Char Char Char, Char Char Char Char Char,Footnote Text Blue Char,Footnote Text1 Char,Char Char,Tegn1 Char1"/>
    <w:basedOn w:val="DefaultParagraphFont"/>
    <w:link w:val="FootnoteText"/>
    <w:uiPriority w:val="99"/>
    <w:rsid w:val="0075140B"/>
    <w:rPr>
      <w:rFonts w:ascii="Calibri" w:eastAsia="Calibri" w:hAnsi="Calibri" w:cs="Times New Roman"/>
      <w:sz w:val="20"/>
      <w:szCs w:val="20"/>
      <w:lang w:val="sr-Latn-BA"/>
    </w:rPr>
  </w:style>
  <w:style w:type="character" w:styleId="FootnoteReference">
    <w:name w:val="footnote reference"/>
    <w:aliases w:val="16 Point,Superscript 6 Point,-E Fußnotenzeichen,Heading 6 Char1,ftref"/>
    <w:unhideWhenUsed/>
    <w:rsid w:val="0075140B"/>
    <w:rPr>
      <w:vertAlign w:val="superscript"/>
    </w:rPr>
  </w:style>
  <w:style w:type="character" w:customStyle="1" w:styleId="Heading4Char">
    <w:name w:val="Heading 4 Char"/>
    <w:basedOn w:val="DefaultParagraphFont"/>
    <w:link w:val="Heading4"/>
    <w:uiPriority w:val="9"/>
    <w:rsid w:val="001F3520"/>
    <w:rPr>
      <w:rFonts w:asciiTheme="majorHAnsi" w:eastAsiaTheme="majorEastAsia" w:hAnsiTheme="majorHAnsi" w:cstheme="majorBidi"/>
      <w:b/>
      <w:bCs/>
      <w:i/>
      <w:iCs/>
      <w:color w:val="5B9BD5" w:themeColor="accent1"/>
      <w:lang w:val="bs-Latn-BA"/>
    </w:rPr>
  </w:style>
  <w:style w:type="paragraph" w:customStyle="1" w:styleId="Standard">
    <w:name w:val="Standard"/>
    <w:link w:val="StandardChar"/>
    <w:rsid w:val="001F3520"/>
    <w:pPr>
      <w:suppressAutoHyphens/>
      <w:autoSpaceDN w:val="0"/>
      <w:spacing w:after="0"/>
      <w:textAlignment w:val="baseline"/>
    </w:pPr>
    <w:rPr>
      <w:rFonts w:ascii="Times New Roman" w:eastAsia="Times New Roman" w:hAnsi="Times New Roman" w:cs="Times New Roman"/>
      <w:kern w:val="3"/>
      <w:sz w:val="24"/>
      <w:szCs w:val="24"/>
      <w:lang w:val="hr-HR" w:eastAsia="zh-CN" w:bidi="hi-IN"/>
    </w:rPr>
  </w:style>
  <w:style w:type="paragraph" w:customStyle="1" w:styleId="Footnote">
    <w:name w:val="Footnote"/>
    <w:basedOn w:val="Standard"/>
    <w:rsid w:val="001F3520"/>
    <w:pPr>
      <w:suppressLineNumbers/>
      <w:ind w:left="283" w:hanging="283"/>
    </w:pPr>
    <w:rPr>
      <w:sz w:val="20"/>
      <w:szCs w:val="20"/>
    </w:rPr>
  </w:style>
  <w:style w:type="paragraph" w:styleId="TOC1">
    <w:name w:val="toc 1"/>
    <w:basedOn w:val="Normal"/>
    <w:next w:val="Normal"/>
    <w:autoRedefine/>
    <w:uiPriority w:val="39"/>
    <w:unhideWhenUsed/>
    <w:rsid w:val="0080584D"/>
    <w:pPr>
      <w:tabs>
        <w:tab w:val="left" w:pos="440"/>
        <w:tab w:val="right" w:leader="dot" w:pos="9062"/>
      </w:tabs>
      <w:spacing w:after="100"/>
      <w:jc w:val="center"/>
    </w:pPr>
    <w:rPr>
      <w:b/>
    </w:rPr>
  </w:style>
  <w:style w:type="paragraph" w:styleId="TOC2">
    <w:name w:val="toc 2"/>
    <w:basedOn w:val="Normal"/>
    <w:next w:val="Normal"/>
    <w:autoRedefine/>
    <w:uiPriority w:val="39"/>
    <w:unhideWhenUsed/>
    <w:rsid w:val="00D55220"/>
    <w:pPr>
      <w:spacing w:after="100"/>
      <w:ind w:left="220"/>
    </w:pPr>
  </w:style>
  <w:style w:type="paragraph" w:styleId="TOC3">
    <w:name w:val="toc 3"/>
    <w:basedOn w:val="Normal"/>
    <w:next w:val="Normal"/>
    <w:autoRedefine/>
    <w:uiPriority w:val="39"/>
    <w:unhideWhenUsed/>
    <w:rsid w:val="00D55220"/>
    <w:pPr>
      <w:spacing w:after="100"/>
      <w:ind w:left="440"/>
    </w:pPr>
  </w:style>
  <w:style w:type="character" w:styleId="Hyperlink">
    <w:name w:val="Hyperlink"/>
    <w:basedOn w:val="DefaultParagraphFont"/>
    <w:uiPriority w:val="99"/>
    <w:unhideWhenUsed/>
    <w:rsid w:val="00D55220"/>
    <w:rPr>
      <w:color w:val="0563C1" w:themeColor="hyperlink"/>
      <w:u w:val="single"/>
    </w:rPr>
  </w:style>
  <w:style w:type="paragraph" w:styleId="Quote">
    <w:name w:val="Quote"/>
    <w:basedOn w:val="Normal"/>
    <w:next w:val="Normal"/>
    <w:link w:val="QuoteChar"/>
    <w:uiPriority w:val="29"/>
    <w:qFormat/>
    <w:rsid w:val="00AD0FEF"/>
    <w:pPr>
      <w:spacing w:after="200" w:line="276" w:lineRule="auto"/>
      <w:jc w:val="center"/>
    </w:pPr>
    <w:rPr>
      <w:rFonts w:eastAsiaTheme="minorHAnsi" w:cstheme="minorBidi"/>
      <w:b/>
      <w:i/>
      <w:iCs/>
      <w:color w:val="C45911" w:themeColor="accent2" w:themeShade="BF"/>
      <w:sz w:val="20"/>
      <w:lang w:val="en-US"/>
    </w:rPr>
  </w:style>
  <w:style w:type="character" w:customStyle="1" w:styleId="QuoteChar">
    <w:name w:val="Quote Char"/>
    <w:basedOn w:val="DefaultParagraphFont"/>
    <w:link w:val="Quote"/>
    <w:uiPriority w:val="29"/>
    <w:rsid w:val="00AD0FEF"/>
    <w:rPr>
      <w:rFonts w:ascii="Times New Roman" w:hAnsi="Times New Roman"/>
      <w:b/>
      <w:i/>
      <w:iCs/>
      <w:color w:val="C45911" w:themeColor="accent2" w:themeShade="BF"/>
      <w:sz w:val="20"/>
    </w:rPr>
  </w:style>
  <w:style w:type="character" w:customStyle="1" w:styleId="FootnoteCharacters">
    <w:name w:val="Footnote Characters"/>
    <w:basedOn w:val="DefaultParagraphFont"/>
    <w:rsid w:val="00FE7D8A"/>
    <w:rPr>
      <w:vertAlign w:val="superscript"/>
    </w:rPr>
  </w:style>
  <w:style w:type="table" w:styleId="TableGrid">
    <w:name w:val="Table Grid"/>
    <w:basedOn w:val="TableNormal"/>
    <w:uiPriority w:val="59"/>
    <w:rsid w:val="00336586"/>
    <w:pPr>
      <w:spacing w:after="0"/>
    </w:pPr>
    <w:rPr>
      <w:rFonts w:ascii="Times New Roman" w:eastAsia="Times New Roman" w:hAnsi="Times New Roman" w:cs="Times New Roman"/>
      <w:sz w:val="20"/>
      <w:szCs w:val="20"/>
      <w:lang w:val="bs-Latn-BA" w:eastAsia="bs-Latn-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D2136"/>
    <w:pPr>
      <w:spacing w:after="0"/>
    </w:pPr>
    <w:rPr>
      <w:rFonts w:ascii="Calibri" w:eastAsia="Calibri" w:hAnsi="Calibri" w:cs="Times New Roman"/>
      <w:lang w:val="bs-Latn-BA"/>
    </w:rPr>
  </w:style>
  <w:style w:type="character" w:customStyle="1" w:styleId="Heading5Char">
    <w:name w:val="Heading 5 Char"/>
    <w:basedOn w:val="DefaultParagraphFont"/>
    <w:link w:val="Heading5"/>
    <w:uiPriority w:val="9"/>
    <w:rsid w:val="00203161"/>
    <w:rPr>
      <w:rFonts w:asciiTheme="majorHAnsi" w:eastAsiaTheme="majorEastAsia" w:hAnsiTheme="majorHAnsi" w:cstheme="majorBidi"/>
      <w:color w:val="1F4D78" w:themeColor="accent1" w:themeShade="7F"/>
      <w:lang w:val="bs-Latn-BA"/>
    </w:rPr>
  </w:style>
  <w:style w:type="paragraph" w:styleId="NormalWeb">
    <w:name w:val="Normal (Web)"/>
    <w:basedOn w:val="Standard"/>
    <w:uiPriority w:val="99"/>
    <w:rsid w:val="00B13631"/>
    <w:pPr>
      <w:spacing w:before="28" w:after="28"/>
    </w:pPr>
    <w:rPr>
      <w:lang w:val="en-US"/>
    </w:rPr>
  </w:style>
  <w:style w:type="table" w:customStyle="1" w:styleId="TableGrid2">
    <w:name w:val="Table Grid2"/>
    <w:basedOn w:val="TableNormal"/>
    <w:next w:val="TableGrid"/>
    <w:rsid w:val="00426634"/>
    <w:pPr>
      <w:spacing w:after="0"/>
    </w:pPr>
    <w:rPr>
      <w:rFonts w:ascii="Times New Roman" w:eastAsia="Times New Roman" w:hAnsi="Times New Roman" w:cs="Times New Roman"/>
      <w:sz w:val="20"/>
      <w:szCs w:val="20"/>
      <w:lang w:val="hr-HR"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Standard"/>
    <w:rsid w:val="00593AFB"/>
    <w:pPr>
      <w:spacing w:after="120"/>
    </w:pPr>
  </w:style>
  <w:style w:type="paragraph" w:styleId="BodyText2">
    <w:name w:val="Body Text 2"/>
    <w:basedOn w:val="Normal"/>
    <w:link w:val="BodyText2Char"/>
    <w:uiPriority w:val="99"/>
    <w:semiHidden/>
    <w:unhideWhenUsed/>
    <w:rsid w:val="00593AFB"/>
    <w:pPr>
      <w:widowControl w:val="0"/>
      <w:suppressAutoHyphens/>
      <w:autoSpaceDN w:val="0"/>
      <w:spacing w:line="480" w:lineRule="auto"/>
      <w:jc w:val="left"/>
      <w:textAlignment w:val="baseline"/>
    </w:pPr>
    <w:rPr>
      <w:rFonts w:eastAsia="SimSun" w:cs="Mangal"/>
      <w:kern w:val="3"/>
      <w:szCs w:val="21"/>
      <w:lang w:val="hr-BA" w:eastAsia="zh-CN" w:bidi="hi-IN"/>
    </w:rPr>
  </w:style>
  <w:style w:type="character" w:customStyle="1" w:styleId="BodyText2Char">
    <w:name w:val="Body Text 2 Char"/>
    <w:basedOn w:val="DefaultParagraphFont"/>
    <w:link w:val="BodyText2"/>
    <w:uiPriority w:val="99"/>
    <w:semiHidden/>
    <w:rsid w:val="00593AFB"/>
    <w:rPr>
      <w:rFonts w:ascii="Times New Roman" w:eastAsia="SimSun" w:hAnsi="Times New Roman" w:cs="Mangal"/>
      <w:kern w:val="3"/>
      <w:sz w:val="24"/>
      <w:szCs w:val="21"/>
      <w:lang w:val="hr-BA" w:eastAsia="zh-CN" w:bidi="hi-IN"/>
    </w:rPr>
  </w:style>
  <w:style w:type="paragraph" w:styleId="PlainText">
    <w:name w:val="Plain Text"/>
    <w:basedOn w:val="Normal"/>
    <w:link w:val="PlainTextChar"/>
    <w:rsid w:val="00593AFB"/>
    <w:pPr>
      <w:suppressAutoHyphens/>
      <w:jc w:val="left"/>
    </w:pPr>
    <w:rPr>
      <w:rFonts w:ascii="Courier New" w:eastAsia="Times New Roman" w:hAnsi="Courier New" w:cs="Courier New"/>
      <w:sz w:val="20"/>
      <w:szCs w:val="20"/>
      <w:lang w:val="en-GB" w:eastAsia="ar-SA"/>
    </w:rPr>
  </w:style>
  <w:style w:type="character" w:customStyle="1" w:styleId="PlainTextChar">
    <w:name w:val="Plain Text Char"/>
    <w:basedOn w:val="DefaultParagraphFont"/>
    <w:link w:val="PlainText"/>
    <w:rsid w:val="00593AFB"/>
    <w:rPr>
      <w:rFonts w:ascii="Courier New" w:eastAsia="Times New Roman" w:hAnsi="Courier New" w:cs="Courier New"/>
      <w:sz w:val="20"/>
      <w:szCs w:val="20"/>
      <w:lang w:val="en-GB" w:eastAsia="ar-SA"/>
    </w:rPr>
  </w:style>
  <w:style w:type="table" w:customStyle="1" w:styleId="TableGrid1">
    <w:name w:val="Table Grid1"/>
    <w:basedOn w:val="TableNormal"/>
    <w:next w:val="TableGrid"/>
    <w:uiPriority w:val="59"/>
    <w:rsid w:val="0022092D"/>
    <w:pPr>
      <w:spacing w:after="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ontents">
    <w:name w:val="Table Contents"/>
    <w:basedOn w:val="Normal"/>
    <w:rsid w:val="00122893"/>
    <w:pPr>
      <w:suppressLineNumbers/>
      <w:suppressAutoHyphens/>
      <w:spacing w:line="100" w:lineRule="atLeast"/>
      <w:jc w:val="left"/>
    </w:pPr>
    <w:rPr>
      <w:rFonts w:eastAsia="Times New Roman"/>
      <w:kern w:val="1"/>
      <w:szCs w:val="24"/>
      <w:lang w:val="hr-HR" w:eastAsia="hi-IN" w:bidi="hi-IN"/>
    </w:rPr>
  </w:style>
  <w:style w:type="paragraph" w:customStyle="1" w:styleId="Slike">
    <w:name w:val="Slike"/>
    <w:basedOn w:val="Normal"/>
    <w:link w:val="SlikeChar"/>
    <w:qFormat/>
    <w:rsid w:val="00D26304"/>
    <w:pPr>
      <w:spacing w:before="240" w:after="240"/>
      <w:jc w:val="center"/>
    </w:pPr>
    <w:rPr>
      <w:i/>
    </w:rPr>
  </w:style>
  <w:style w:type="character" w:customStyle="1" w:styleId="SlikeChar">
    <w:name w:val="Slike Char"/>
    <w:basedOn w:val="DefaultParagraphFont"/>
    <w:link w:val="Slike"/>
    <w:rsid w:val="00D26304"/>
    <w:rPr>
      <w:rFonts w:ascii="Times New Roman" w:eastAsia="Calibri" w:hAnsi="Times New Roman" w:cs="Times New Roman"/>
      <w:i/>
      <w:lang w:val="bs-Latn-BA"/>
    </w:rPr>
  </w:style>
  <w:style w:type="paragraph" w:styleId="TOCHeading">
    <w:name w:val="TOC Heading"/>
    <w:basedOn w:val="Heading1"/>
    <w:next w:val="Normal"/>
    <w:uiPriority w:val="39"/>
    <w:unhideWhenUsed/>
    <w:qFormat/>
    <w:rsid w:val="0080584D"/>
    <w:pPr>
      <w:keepLines/>
      <w:spacing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4">
    <w:name w:val="toc 4"/>
    <w:basedOn w:val="Normal"/>
    <w:next w:val="Normal"/>
    <w:autoRedefine/>
    <w:uiPriority w:val="39"/>
    <w:unhideWhenUsed/>
    <w:rsid w:val="0080584D"/>
    <w:pPr>
      <w:spacing w:after="100"/>
      <w:ind w:left="720"/>
    </w:pPr>
  </w:style>
  <w:style w:type="paragraph" w:styleId="Header">
    <w:name w:val="header"/>
    <w:basedOn w:val="Normal"/>
    <w:link w:val="HeaderChar"/>
    <w:uiPriority w:val="99"/>
    <w:unhideWhenUsed/>
    <w:rsid w:val="0080584D"/>
    <w:pPr>
      <w:tabs>
        <w:tab w:val="center" w:pos="4536"/>
        <w:tab w:val="right" w:pos="9072"/>
      </w:tabs>
      <w:spacing w:after="0"/>
    </w:pPr>
  </w:style>
  <w:style w:type="character" w:customStyle="1" w:styleId="HeaderChar">
    <w:name w:val="Header Char"/>
    <w:basedOn w:val="DefaultParagraphFont"/>
    <w:link w:val="Header"/>
    <w:uiPriority w:val="99"/>
    <w:rsid w:val="0080584D"/>
    <w:rPr>
      <w:rFonts w:ascii="Times New Roman" w:eastAsia="Calibri" w:hAnsi="Times New Roman" w:cs="Times New Roman"/>
      <w:sz w:val="24"/>
      <w:lang w:val="bs-Latn-BA"/>
    </w:rPr>
  </w:style>
  <w:style w:type="paragraph" w:styleId="TOC5">
    <w:name w:val="toc 5"/>
    <w:basedOn w:val="Normal"/>
    <w:next w:val="Normal"/>
    <w:autoRedefine/>
    <w:uiPriority w:val="39"/>
    <w:unhideWhenUsed/>
    <w:rsid w:val="00EA1756"/>
    <w:pPr>
      <w:spacing w:after="100"/>
      <w:ind w:left="960"/>
    </w:pPr>
  </w:style>
  <w:style w:type="paragraph" w:styleId="TOC6">
    <w:name w:val="toc 6"/>
    <w:basedOn w:val="Normal"/>
    <w:next w:val="Normal"/>
    <w:autoRedefine/>
    <w:uiPriority w:val="39"/>
    <w:unhideWhenUsed/>
    <w:rsid w:val="00EA1756"/>
    <w:pPr>
      <w:spacing w:after="100" w:line="259" w:lineRule="auto"/>
      <w:ind w:left="1100"/>
      <w:jc w:val="left"/>
    </w:pPr>
    <w:rPr>
      <w:rFonts w:asciiTheme="minorHAnsi" w:eastAsiaTheme="minorEastAsia" w:hAnsiTheme="minorHAnsi" w:cstheme="minorBidi"/>
      <w:lang w:eastAsia="bs-Latn-BA"/>
    </w:rPr>
  </w:style>
  <w:style w:type="paragraph" w:styleId="TOC7">
    <w:name w:val="toc 7"/>
    <w:basedOn w:val="Normal"/>
    <w:next w:val="Normal"/>
    <w:autoRedefine/>
    <w:uiPriority w:val="39"/>
    <w:unhideWhenUsed/>
    <w:rsid w:val="00EA1756"/>
    <w:pPr>
      <w:spacing w:after="100" w:line="259" w:lineRule="auto"/>
      <w:ind w:left="1320"/>
      <w:jc w:val="left"/>
    </w:pPr>
    <w:rPr>
      <w:rFonts w:asciiTheme="minorHAnsi" w:eastAsiaTheme="minorEastAsia" w:hAnsiTheme="minorHAnsi" w:cstheme="minorBidi"/>
      <w:lang w:eastAsia="bs-Latn-BA"/>
    </w:rPr>
  </w:style>
  <w:style w:type="paragraph" w:styleId="TOC8">
    <w:name w:val="toc 8"/>
    <w:basedOn w:val="Normal"/>
    <w:next w:val="Normal"/>
    <w:autoRedefine/>
    <w:uiPriority w:val="39"/>
    <w:unhideWhenUsed/>
    <w:rsid w:val="00EA1756"/>
    <w:pPr>
      <w:spacing w:after="100" w:line="259" w:lineRule="auto"/>
      <w:ind w:left="1540"/>
      <w:jc w:val="left"/>
    </w:pPr>
    <w:rPr>
      <w:rFonts w:asciiTheme="minorHAnsi" w:eastAsiaTheme="minorEastAsia" w:hAnsiTheme="minorHAnsi" w:cstheme="minorBidi"/>
      <w:lang w:eastAsia="bs-Latn-BA"/>
    </w:rPr>
  </w:style>
  <w:style w:type="paragraph" w:styleId="TOC9">
    <w:name w:val="toc 9"/>
    <w:basedOn w:val="Normal"/>
    <w:next w:val="Normal"/>
    <w:autoRedefine/>
    <w:uiPriority w:val="39"/>
    <w:unhideWhenUsed/>
    <w:rsid w:val="00EA1756"/>
    <w:pPr>
      <w:spacing w:after="100" w:line="259" w:lineRule="auto"/>
      <w:ind w:left="1760"/>
      <w:jc w:val="left"/>
    </w:pPr>
    <w:rPr>
      <w:rFonts w:asciiTheme="minorHAnsi" w:eastAsiaTheme="minorEastAsia" w:hAnsiTheme="minorHAnsi" w:cstheme="minorBidi"/>
      <w:lang w:eastAsia="bs-Latn-BA"/>
    </w:rPr>
  </w:style>
  <w:style w:type="character" w:customStyle="1" w:styleId="FootnoteTextChar1">
    <w:name w:val="Footnote Text Char1"/>
    <w:basedOn w:val="DefaultParagraphFont"/>
    <w:rsid w:val="00465372"/>
    <w:rPr>
      <w:rFonts w:ascii="Times New Roman" w:eastAsia="Times New Roman" w:hAnsi="Times New Roman" w:cs="Times New Roman"/>
      <w:sz w:val="20"/>
      <w:szCs w:val="20"/>
    </w:rPr>
  </w:style>
  <w:style w:type="paragraph" w:customStyle="1" w:styleId="GrafiTabele">
    <w:name w:val="Graf i Tabele"/>
    <w:link w:val="GrafiTabeleChar"/>
    <w:qFormat/>
    <w:rsid w:val="00194A79"/>
    <w:pPr>
      <w:spacing w:before="120"/>
      <w:jc w:val="center"/>
    </w:pPr>
    <w:rPr>
      <w:rFonts w:ascii="Times New Roman" w:eastAsia="Calibri" w:hAnsi="Times New Roman" w:cs="Times New Roman"/>
      <w:b/>
      <w:sz w:val="20"/>
      <w:lang w:val="hr-HR" w:eastAsia="ar-SA" w:bidi="hr-HR"/>
    </w:rPr>
  </w:style>
  <w:style w:type="paragraph" w:customStyle="1" w:styleId="Izvorpodataka">
    <w:name w:val="Izvor podataka"/>
    <w:basedOn w:val="Slike"/>
    <w:link w:val="IzvorpodatakaChar"/>
    <w:qFormat/>
    <w:rsid w:val="00194A79"/>
    <w:pPr>
      <w:spacing w:before="60" w:after="120"/>
    </w:pPr>
    <w:rPr>
      <w:sz w:val="20"/>
      <w:lang w:val="hr-HR" w:eastAsia="ar-SA"/>
    </w:rPr>
  </w:style>
  <w:style w:type="character" w:customStyle="1" w:styleId="GrafiTabeleChar">
    <w:name w:val="Graf i Tabele Char"/>
    <w:basedOn w:val="DefaultParagraphFont"/>
    <w:link w:val="GrafiTabele"/>
    <w:rsid w:val="00194A79"/>
    <w:rPr>
      <w:rFonts w:ascii="Times New Roman" w:eastAsia="Calibri" w:hAnsi="Times New Roman" w:cs="Times New Roman"/>
      <w:b/>
      <w:sz w:val="20"/>
      <w:lang w:val="hr-HR" w:eastAsia="ar-SA" w:bidi="hr-HR"/>
    </w:rPr>
  </w:style>
  <w:style w:type="character" w:customStyle="1" w:styleId="IzvorpodatakaChar">
    <w:name w:val="Izvor podataka Char"/>
    <w:basedOn w:val="SlikeChar"/>
    <w:link w:val="Izvorpodataka"/>
    <w:rsid w:val="00194A79"/>
    <w:rPr>
      <w:rFonts w:ascii="Times New Roman" w:eastAsia="Calibri" w:hAnsi="Times New Roman" w:cs="Times New Roman"/>
      <w:i/>
      <w:sz w:val="20"/>
      <w:lang w:val="hr-HR" w:eastAsia="ar-SA"/>
    </w:rPr>
  </w:style>
  <w:style w:type="paragraph" w:customStyle="1" w:styleId="TextinTables">
    <w:name w:val="Text in Tables"/>
    <w:basedOn w:val="Normal"/>
    <w:link w:val="TextinTablesChar"/>
    <w:qFormat/>
    <w:rsid w:val="002837E2"/>
    <w:pPr>
      <w:widowControl w:val="0"/>
      <w:suppressAutoHyphens/>
      <w:kinsoku w:val="0"/>
      <w:overflowPunct w:val="0"/>
      <w:spacing w:before="20" w:after="20"/>
      <w:textAlignment w:val="baseline"/>
    </w:pPr>
    <w:rPr>
      <w:rFonts w:eastAsia="Times New Roman"/>
      <w:sz w:val="20"/>
      <w:lang w:val="pl-PL" w:eastAsia="hr-HR" w:bidi="hr-HR"/>
    </w:rPr>
  </w:style>
  <w:style w:type="character" w:customStyle="1" w:styleId="TextinTablesChar">
    <w:name w:val="Text in Tables Char"/>
    <w:basedOn w:val="DefaultParagraphFont"/>
    <w:link w:val="TextinTables"/>
    <w:rsid w:val="002837E2"/>
    <w:rPr>
      <w:rFonts w:ascii="Times New Roman" w:eastAsia="Times New Roman" w:hAnsi="Times New Roman" w:cs="Times New Roman"/>
      <w:sz w:val="20"/>
      <w:lang w:val="pl-PL" w:eastAsia="hr-HR" w:bidi="hr-HR"/>
    </w:rPr>
  </w:style>
  <w:style w:type="paragraph" w:customStyle="1" w:styleId="Pitcures">
    <w:name w:val="Pitcures"/>
    <w:basedOn w:val="Standard"/>
    <w:link w:val="PitcuresChar"/>
    <w:qFormat/>
    <w:rsid w:val="00194A79"/>
    <w:pPr>
      <w:jc w:val="center"/>
    </w:pPr>
    <w:rPr>
      <w:noProof/>
      <w:lang w:val="bs-Latn-BA" w:eastAsia="bs-Latn-BA" w:bidi="ar-SA"/>
    </w:rPr>
  </w:style>
  <w:style w:type="character" w:customStyle="1" w:styleId="StandardChar">
    <w:name w:val="Standard Char"/>
    <w:basedOn w:val="DefaultParagraphFont"/>
    <w:link w:val="Standard"/>
    <w:rsid w:val="00194A79"/>
    <w:rPr>
      <w:rFonts w:ascii="Times New Roman" w:eastAsia="Times New Roman" w:hAnsi="Times New Roman" w:cs="Times New Roman"/>
      <w:kern w:val="3"/>
      <w:sz w:val="24"/>
      <w:szCs w:val="24"/>
      <w:lang w:val="hr-HR" w:eastAsia="zh-CN" w:bidi="hi-IN"/>
    </w:rPr>
  </w:style>
  <w:style w:type="character" w:customStyle="1" w:styleId="PitcuresChar">
    <w:name w:val="Pitcures Char"/>
    <w:basedOn w:val="StandardChar"/>
    <w:link w:val="Pitcures"/>
    <w:rsid w:val="00194A79"/>
    <w:rPr>
      <w:rFonts w:ascii="Times New Roman" w:eastAsia="Times New Roman" w:hAnsi="Times New Roman" w:cs="Times New Roman"/>
      <w:noProof/>
      <w:kern w:val="3"/>
      <w:sz w:val="24"/>
      <w:szCs w:val="24"/>
      <w:lang w:val="bs-Latn-BA" w:eastAsia="bs-Latn-BA" w:bidi="hi-IN"/>
    </w:rPr>
  </w:style>
  <w:style w:type="numbering" w:customStyle="1" w:styleId="WWNum6">
    <w:name w:val="WWNum6"/>
    <w:basedOn w:val="NoList"/>
    <w:rsid w:val="00046484"/>
    <w:pPr>
      <w:numPr>
        <w:numId w:val="2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WWNum6"/>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4924">
      <w:bodyDiv w:val="1"/>
      <w:marLeft w:val="0"/>
      <w:marRight w:val="0"/>
      <w:marTop w:val="0"/>
      <w:marBottom w:val="0"/>
      <w:divBdr>
        <w:top w:val="none" w:sz="0" w:space="0" w:color="auto"/>
        <w:left w:val="none" w:sz="0" w:space="0" w:color="auto"/>
        <w:bottom w:val="none" w:sz="0" w:space="0" w:color="auto"/>
        <w:right w:val="none" w:sz="0" w:space="0" w:color="auto"/>
      </w:divBdr>
    </w:div>
    <w:div w:id="28528173">
      <w:bodyDiv w:val="1"/>
      <w:marLeft w:val="0"/>
      <w:marRight w:val="0"/>
      <w:marTop w:val="0"/>
      <w:marBottom w:val="0"/>
      <w:divBdr>
        <w:top w:val="none" w:sz="0" w:space="0" w:color="auto"/>
        <w:left w:val="none" w:sz="0" w:space="0" w:color="auto"/>
        <w:bottom w:val="none" w:sz="0" w:space="0" w:color="auto"/>
        <w:right w:val="none" w:sz="0" w:space="0" w:color="auto"/>
      </w:divBdr>
    </w:div>
    <w:div w:id="37168522">
      <w:bodyDiv w:val="1"/>
      <w:marLeft w:val="0"/>
      <w:marRight w:val="0"/>
      <w:marTop w:val="0"/>
      <w:marBottom w:val="0"/>
      <w:divBdr>
        <w:top w:val="none" w:sz="0" w:space="0" w:color="auto"/>
        <w:left w:val="none" w:sz="0" w:space="0" w:color="auto"/>
        <w:bottom w:val="none" w:sz="0" w:space="0" w:color="auto"/>
        <w:right w:val="none" w:sz="0" w:space="0" w:color="auto"/>
      </w:divBdr>
    </w:div>
    <w:div w:id="42826217">
      <w:bodyDiv w:val="1"/>
      <w:marLeft w:val="0"/>
      <w:marRight w:val="0"/>
      <w:marTop w:val="0"/>
      <w:marBottom w:val="0"/>
      <w:divBdr>
        <w:top w:val="none" w:sz="0" w:space="0" w:color="auto"/>
        <w:left w:val="none" w:sz="0" w:space="0" w:color="auto"/>
        <w:bottom w:val="none" w:sz="0" w:space="0" w:color="auto"/>
        <w:right w:val="none" w:sz="0" w:space="0" w:color="auto"/>
      </w:divBdr>
    </w:div>
    <w:div w:id="50271288">
      <w:bodyDiv w:val="1"/>
      <w:marLeft w:val="0"/>
      <w:marRight w:val="0"/>
      <w:marTop w:val="0"/>
      <w:marBottom w:val="0"/>
      <w:divBdr>
        <w:top w:val="none" w:sz="0" w:space="0" w:color="auto"/>
        <w:left w:val="none" w:sz="0" w:space="0" w:color="auto"/>
        <w:bottom w:val="none" w:sz="0" w:space="0" w:color="auto"/>
        <w:right w:val="none" w:sz="0" w:space="0" w:color="auto"/>
      </w:divBdr>
    </w:div>
    <w:div w:id="50274339">
      <w:bodyDiv w:val="1"/>
      <w:marLeft w:val="0"/>
      <w:marRight w:val="0"/>
      <w:marTop w:val="0"/>
      <w:marBottom w:val="0"/>
      <w:divBdr>
        <w:top w:val="none" w:sz="0" w:space="0" w:color="auto"/>
        <w:left w:val="none" w:sz="0" w:space="0" w:color="auto"/>
        <w:bottom w:val="none" w:sz="0" w:space="0" w:color="auto"/>
        <w:right w:val="none" w:sz="0" w:space="0" w:color="auto"/>
      </w:divBdr>
    </w:div>
    <w:div w:id="63526004">
      <w:bodyDiv w:val="1"/>
      <w:marLeft w:val="0"/>
      <w:marRight w:val="0"/>
      <w:marTop w:val="0"/>
      <w:marBottom w:val="0"/>
      <w:divBdr>
        <w:top w:val="none" w:sz="0" w:space="0" w:color="auto"/>
        <w:left w:val="none" w:sz="0" w:space="0" w:color="auto"/>
        <w:bottom w:val="none" w:sz="0" w:space="0" w:color="auto"/>
        <w:right w:val="none" w:sz="0" w:space="0" w:color="auto"/>
      </w:divBdr>
    </w:div>
    <w:div w:id="108666438">
      <w:bodyDiv w:val="1"/>
      <w:marLeft w:val="0"/>
      <w:marRight w:val="0"/>
      <w:marTop w:val="0"/>
      <w:marBottom w:val="0"/>
      <w:divBdr>
        <w:top w:val="none" w:sz="0" w:space="0" w:color="auto"/>
        <w:left w:val="none" w:sz="0" w:space="0" w:color="auto"/>
        <w:bottom w:val="none" w:sz="0" w:space="0" w:color="auto"/>
        <w:right w:val="none" w:sz="0" w:space="0" w:color="auto"/>
      </w:divBdr>
    </w:div>
    <w:div w:id="124470770">
      <w:bodyDiv w:val="1"/>
      <w:marLeft w:val="0"/>
      <w:marRight w:val="0"/>
      <w:marTop w:val="0"/>
      <w:marBottom w:val="0"/>
      <w:divBdr>
        <w:top w:val="none" w:sz="0" w:space="0" w:color="auto"/>
        <w:left w:val="none" w:sz="0" w:space="0" w:color="auto"/>
        <w:bottom w:val="none" w:sz="0" w:space="0" w:color="auto"/>
        <w:right w:val="none" w:sz="0" w:space="0" w:color="auto"/>
      </w:divBdr>
    </w:div>
    <w:div w:id="138497794">
      <w:bodyDiv w:val="1"/>
      <w:marLeft w:val="0"/>
      <w:marRight w:val="0"/>
      <w:marTop w:val="0"/>
      <w:marBottom w:val="0"/>
      <w:divBdr>
        <w:top w:val="none" w:sz="0" w:space="0" w:color="auto"/>
        <w:left w:val="none" w:sz="0" w:space="0" w:color="auto"/>
        <w:bottom w:val="none" w:sz="0" w:space="0" w:color="auto"/>
        <w:right w:val="none" w:sz="0" w:space="0" w:color="auto"/>
      </w:divBdr>
    </w:div>
    <w:div w:id="161048766">
      <w:bodyDiv w:val="1"/>
      <w:marLeft w:val="0"/>
      <w:marRight w:val="0"/>
      <w:marTop w:val="0"/>
      <w:marBottom w:val="0"/>
      <w:divBdr>
        <w:top w:val="none" w:sz="0" w:space="0" w:color="auto"/>
        <w:left w:val="none" w:sz="0" w:space="0" w:color="auto"/>
        <w:bottom w:val="none" w:sz="0" w:space="0" w:color="auto"/>
        <w:right w:val="none" w:sz="0" w:space="0" w:color="auto"/>
      </w:divBdr>
    </w:div>
    <w:div w:id="228737797">
      <w:bodyDiv w:val="1"/>
      <w:marLeft w:val="0"/>
      <w:marRight w:val="0"/>
      <w:marTop w:val="0"/>
      <w:marBottom w:val="0"/>
      <w:divBdr>
        <w:top w:val="none" w:sz="0" w:space="0" w:color="auto"/>
        <w:left w:val="none" w:sz="0" w:space="0" w:color="auto"/>
        <w:bottom w:val="none" w:sz="0" w:space="0" w:color="auto"/>
        <w:right w:val="none" w:sz="0" w:space="0" w:color="auto"/>
      </w:divBdr>
    </w:div>
    <w:div w:id="244729622">
      <w:bodyDiv w:val="1"/>
      <w:marLeft w:val="0"/>
      <w:marRight w:val="0"/>
      <w:marTop w:val="0"/>
      <w:marBottom w:val="0"/>
      <w:divBdr>
        <w:top w:val="none" w:sz="0" w:space="0" w:color="auto"/>
        <w:left w:val="none" w:sz="0" w:space="0" w:color="auto"/>
        <w:bottom w:val="none" w:sz="0" w:space="0" w:color="auto"/>
        <w:right w:val="none" w:sz="0" w:space="0" w:color="auto"/>
      </w:divBdr>
    </w:div>
    <w:div w:id="297033353">
      <w:bodyDiv w:val="1"/>
      <w:marLeft w:val="0"/>
      <w:marRight w:val="0"/>
      <w:marTop w:val="0"/>
      <w:marBottom w:val="0"/>
      <w:divBdr>
        <w:top w:val="none" w:sz="0" w:space="0" w:color="auto"/>
        <w:left w:val="none" w:sz="0" w:space="0" w:color="auto"/>
        <w:bottom w:val="none" w:sz="0" w:space="0" w:color="auto"/>
        <w:right w:val="none" w:sz="0" w:space="0" w:color="auto"/>
      </w:divBdr>
    </w:div>
    <w:div w:id="367533227">
      <w:bodyDiv w:val="1"/>
      <w:marLeft w:val="0"/>
      <w:marRight w:val="0"/>
      <w:marTop w:val="0"/>
      <w:marBottom w:val="0"/>
      <w:divBdr>
        <w:top w:val="none" w:sz="0" w:space="0" w:color="auto"/>
        <w:left w:val="none" w:sz="0" w:space="0" w:color="auto"/>
        <w:bottom w:val="none" w:sz="0" w:space="0" w:color="auto"/>
        <w:right w:val="none" w:sz="0" w:space="0" w:color="auto"/>
      </w:divBdr>
    </w:div>
    <w:div w:id="385182759">
      <w:bodyDiv w:val="1"/>
      <w:marLeft w:val="0"/>
      <w:marRight w:val="0"/>
      <w:marTop w:val="0"/>
      <w:marBottom w:val="0"/>
      <w:divBdr>
        <w:top w:val="none" w:sz="0" w:space="0" w:color="auto"/>
        <w:left w:val="none" w:sz="0" w:space="0" w:color="auto"/>
        <w:bottom w:val="none" w:sz="0" w:space="0" w:color="auto"/>
        <w:right w:val="none" w:sz="0" w:space="0" w:color="auto"/>
      </w:divBdr>
    </w:div>
    <w:div w:id="417562252">
      <w:bodyDiv w:val="1"/>
      <w:marLeft w:val="0"/>
      <w:marRight w:val="0"/>
      <w:marTop w:val="0"/>
      <w:marBottom w:val="0"/>
      <w:divBdr>
        <w:top w:val="none" w:sz="0" w:space="0" w:color="auto"/>
        <w:left w:val="none" w:sz="0" w:space="0" w:color="auto"/>
        <w:bottom w:val="none" w:sz="0" w:space="0" w:color="auto"/>
        <w:right w:val="none" w:sz="0" w:space="0" w:color="auto"/>
      </w:divBdr>
    </w:div>
    <w:div w:id="424764720">
      <w:bodyDiv w:val="1"/>
      <w:marLeft w:val="0"/>
      <w:marRight w:val="0"/>
      <w:marTop w:val="0"/>
      <w:marBottom w:val="0"/>
      <w:divBdr>
        <w:top w:val="none" w:sz="0" w:space="0" w:color="auto"/>
        <w:left w:val="none" w:sz="0" w:space="0" w:color="auto"/>
        <w:bottom w:val="none" w:sz="0" w:space="0" w:color="auto"/>
        <w:right w:val="none" w:sz="0" w:space="0" w:color="auto"/>
      </w:divBdr>
    </w:div>
    <w:div w:id="496464398">
      <w:bodyDiv w:val="1"/>
      <w:marLeft w:val="0"/>
      <w:marRight w:val="0"/>
      <w:marTop w:val="0"/>
      <w:marBottom w:val="0"/>
      <w:divBdr>
        <w:top w:val="none" w:sz="0" w:space="0" w:color="auto"/>
        <w:left w:val="none" w:sz="0" w:space="0" w:color="auto"/>
        <w:bottom w:val="none" w:sz="0" w:space="0" w:color="auto"/>
        <w:right w:val="none" w:sz="0" w:space="0" w:color="auto"/>
      </w:divBdr>
    </w:div>
    <w:div w:id="507140618">
      <w:bodyDiv w:val="1"/>
      <w:marLeft w:val="0"/>
      <w:marRight w:val="0"/>
      <w:marTop w:val="0"/>
      <w:marBottom w:val="0"/>
      <w:divBdr>
        <w:top w:val="none" w:sz="0" w:space="0" w:color="auto"/>
        <w:left w:val="none" w:sz="0" w:space="0" w:color="auto"/>
        <w:bottom w:val="none" w:sz="0" w:space="0" w:color="auto"/>
        <w:right w:val="none" w:sz="0" w:space="0" w:color="auto"/>
      </w:divBdr>
    </w:div>
    <w:div w:id="536040787">
      <w:bodyDiv w:val="1"/>
      <w:marLeft w:val="0"/>
      <w:marRight w:val="0"/>
      <w:marTop w:val="0"/>
      <w:marBottom w:val="0"/>
      <w:divBdr>
        <w:top w:val="none" w:sz="0" w:space="0" w:color="auto"/>
        <w:left w:val="none" w:sz="0" w:space="0" w:color="auto"/>
        <w:bottom w:val="none" w:sz="0" w:space="0" w:color="auto"/>
        <w:right w:val="none" w:sz="0" w:space="0" w:color="auto"/>
      </w:divBdr>
    </w:div>
    <w:div w:id="581641831">
      <w:bodyDiv w:val="1"/>
      <w:marLeft w:val="0"/>
      <w:marRight w:val="0"/>
      <w:marTop w:val="0"/>
      <w:marBottom w:val="0"/>
      <w:divBdr>
        <w:top w:val="none" w:sz="0" w:space="0" w:color="auto"/>
        <w:left w:val="none" w:sz="0" w:space="0" w:color="auto"/>
        <w:bottom w:val="none" w:sz="0" w:space="0" w:color="auto"/>
        <w:right w:val="none" w:sz="0" w:space="0" w:color="auto"/>
      </w:divBdr>
    </w:div>
    <w:div w:id="591163245">
      <w:bodyDiv w:val="1"/>
      <w:marLeft w:val="0"/>
      <w:marRight w:val="0"/>
      <w:marTop w:val="0"/>
      <w:marBottom w:val="0"/>
      <w:divBdr>
        <w:top w:val="none" w:sz="0" w:space="0" w:color="auto"/>
        <w:left w:val="none" w:sz="0" w:space="0" w:color="auto"/>
        <w:bottom w:val="none" w:sz="0" w:space="0" w:color="auto"/>
        <w:right w:val="none" w:sz="0" w:space="0" w:color="auto"/>
      </w:divBdr>
    </w:div>
    <w:div w:id="594439690">
      <w:bodyDiv w:val="1"/>
      <w:marLeft w:val="0"/>
      <w:marRight w:val="0"/>
      <w:marTop w:val="0"/>
      <w:marBottom w:val="0"/>
      <w:divBdr>
        <w:top w:val="none" w:sz="0" w:space="0" w:color="auto"/>
        <w:left w:val="none" w:sz="0" w:space="0" w:color="auto"/>
        <w:bottom w:val="none" w:sz="0" w:space="0" w:color="auto"/>
        <w:right w:val="none" w:sz="0" w:space="0" w:color="auto"/>
      </w:divBdr>
    </w:div>
    <w:div w:id="595988007">
      <w:bodyDiv w:val="1"/>
      <w:marLeft w:val="0"/>
      <w:marRight w:val="0"/>
      <w:marTop w:val="0"/>
      <w:marBottom w:val="0"/>
      <w:divBdr>
        <w:top w:val="none" w:sz="0" w:space="0" w:color="auto"/>
        <w:left w:val="none" w:sz="0" w:space="0" w:color="auto"/>
        <w:bottom w:val="none" w:sz="0" w:space="0" w:color="auto"/>
        <w:right w:val="none" w:sz="0" w:space="0" w:color="auto"/>
      </w:divBdr>
    </w:div>
    <w:div w:id="688527622">
      <w:bodyDiv w:val="1"/>
      <w:marLeft w:val="0"/>
      <w:marRight w:val="0"/>
      <w:marTop w:val="0"/>
      <w:marBottom w:val="0"/>
      <w:divBdr>
        <w:top w:val="none" w:sz="0" w:space="0" w:color="auto"/>
        <w:left w:val="none" w:sz="0" w:space="0" w:color="auto"/>
        <w:bottom w:val="none" w:sz="0" w:space="0" w:color="auto"/>
        <w:right w:val="none" w:sz="0" w:space="0" w:color="auto"/>
      </w:divBdr>
    </w:div>
    <w:div w:id="717901654">
      <w:bodyDiv w:val="1"/>
      <w:marLeft w:val="0"/>
      <w:marRight w:val="0"/>
      <w:marTop w:val="0"/>
      <w:marBottom w:val="0"/>
      <w:divBdr>
        <w:top w:val="none" w:sz="0" w:space="0" w:color="auto"/>
        <w:left w:val="none" w:sz="0" w:space="0" w:color="auto"/>
        <w:bottom w:val="none" w:sz="0" w:space="0" w:color="auto"/>
        <w:right w:val="none" w:sz="0" w:space="0" w:color="auto"/>
      </w:divBdr>
    </w:div>
    <w:div w:id="722679835">
      <w:bodyDiv w:val="1"/>
      <w:marLeft w:val="0"/>
      <w:marRight w:val="0"/>
      <w:marTop w:val="0"/>
      <w:marBottom w:val="0"/>
      <w:divBdr>
        <w:top w:val="none" w:sz="0" w:space="0" w:color="auto"/>
        <w:left w:val="none" w:sz="0" w:space="0" w:color="auto"/>
        <w:bottom w:val="none" w:sz="0" w:space="0" w:color="auto"/>
        <w:right w:val="none" w:sz="0" w:space="0" w:color="auto"/>
      </w:divBdr>
    </w:div>
    <w:div w:id="746656296">
      <w:bodyDiv w:val="1"/>
      <w:marLeft w:val="0"/>
      <w:marRight w:val="0"/>
      <w:marTop w:val="0"/>
      <w:marBottom w:val="0"/>
      <w:divBdr>
        <w:top w:val="none" w:sz="0" w:space="0" w:color="auto"/>
        <w:left w:val="none" w:sz="0" w:space="0" w:color="auto"/>
        <w:bottom w:val="none" w:sz="0" w:space="0" w:color="auto"/>
        <w:right w:val="none" w:sz="0" w:space="0" w:color="auto"/>
      </w:divBdr>
    </w:div>
    <w:div w:id="805783532">
      <w:bodyDiv w:val="1"/>
      <w:marLeft w:val="0"/>
      <w:marRight w:val="0"/>
      <w:marTop w:val="0"/>
      <w:marBottom w:val="0"/>
      <w:divBdr>
        <w:top w:val="none" w:sz="0" w:space="0" w:color="auto"/>
        <w:left w:val="none" w:sz="0" w:space="0" w:color="auto"/>
        <w:bottom w:val="none" w:sz="0" w:space="0" w:color="auto"/>
        <w:right w:val="none" w:sz="0" w:space="0" w:color="auto"/>
      </w:divBdr>
    </w:div>
    <w:div w:id="844788205">
      <w:bodyDiv w:val="1"/>
      <w:marLeft w:val="0"/>
      <w:marRight w:val="0"/>
      <w:marTop w:val="0"/>
      <w:marBottom w:val="0"/>
      <w:divBdr>
        <w:top w:val="none" w:sz="0" w:space="0" w:color="auto"/>
        <w:left w:val="none" w:sz="0" w:space="0" w:color="auto"/>
        <w:bottom w:val="none" w:sz="0" w:space="0" w:color="auto"/>
        <w:right w:val="none" w:sz="0" w:space="0" w:color="auto"/>
      </w:divBdr>
    </w:div>
    <w:div w:id="851720995">
      <w:bodyDiv w:val="1"/>
      <w:marLeft w:val="0"/>
      <w:marRight w:val="0"/>
      <w:marTop w:val="0"/>
      <w:marBottom w:val="0"/>
      <w:divBdr>
        <w:top w:val="none" w:sz="0" w:space="0" w:color="auto"/>
        <w:left w:val="none" w:sz="0" w:space="0" w:color="auto"/>
        <w:bottom w:val="none" w:sz="0" w:space="0" w:color="auto"/>
        <w:right w:val="none" w:sz="0" w:space="0" w:color="auto"/>
      </w:divBdr>
    </w:div>
    <w:div w:id="877163206">
      <w:bodyDiv w:val="1"/>
      <w:marLeft w:val="0"/>
      <w:marRight w:val="0"/>
      <w:marTop w:val="0"/>
      <w:marBottom w:val="0"/>
      <w:divBdr>
        <w:top w:val="none" w:sz="0" w:space="0" w:color="auto"/>
        <w:left w:val="none" w:sz="0" w:space="0" w:color="auto"/>
        <w:bottom w:val="none" w:sz="0" w:space="0" w:color="auto"/>
        <w:right w:val="none" w:sz="0" w:space="0" w:color="auto"/>
      </w:divBdr>
    </w:div>
    <w:div w:id="880286376">
      <w:bodyDiv w:val="1"/>
      <w:marLeft w:val="0"/>
      <w:marRight w:val="0"/>
      <w:marTop w:val="0"/>
      <w:marBottom w:val="0"/>
      <w:divBdr>
        <w:top w:val="none" w:sz="0" w:space="0" w:color="auto"/>
        <w:left w:val="none" w:sz="0" w:space="0" w:color="auto"/>
        <w:bottom w:val="none" w:sz="0" w:space="0" w:color="auto"/>
        <w:right w:val="none" w:sz="0" w:space="0" w:color="auto"/>
      </w:divBdr>
    </w:div>
    <w:div w:id="889651737">
      <w:bodyDiv w:val="1"/>
      <w:marLeft w:val="0"/>
      <w:marRight w:val="0"/>
      <w:marTop w:val="0"/>
      <w:marBottom w:val="0"/>
      <w:divBdr>
        <w:top w:val="none" w:sz="0" w:space="0" w:color="auto"/>
        <w:left w:val="none" w:sz="0" w:space="0" w:color="auto"/>
        <w:bottom w:val="none" w:sz="0" w:space="0" w:color="auto"/>
        <w:right w:val="none" w:sz="0" w:space="0" w:color="auto"/>
      </w:divBdr>
    </w:div>
    <w:div w:id="894395071">
      <w:bodyDiv w:val="1"/>
      <w:marLeft w:val="0"/>
      <w:marRight w:val="0"/>
      <w:marTop w:val="0"/>
      <w:marBottom w:val="0"/>
      <w:divBdr>
        <w:top w:val="none" w:sz="0" w:space="0" w:color="auto"/>
        <w:left w:val="none" w:sz="0" w:space="0" w:color="auto"/>
        <w:bottom w:val="none" w:sz="0" w:space="0" w:color="auto"/>
        <w:right w:val="none" w:sz="0" w:space="0" w:color="auto"/>
      </w:divBdr>
    </w:div>
    <w:div w:id="916793699">
      <w:bodyDiv w:val="1"/>
      <w:marLeft w:val="0"/>
      <w:marRight w:val="0"/>
      <w:marTop w:val="0"/>
      <w:marBottom w:val="0"/>
      <w:divBdr>
        <w:top w:val="none" w:sz="0" w:space="0" w:color="auto"/>
        <w:left w:val="none" w:sz="0" w:space="0" w:color="auto"/>
        <w:bottom w:val="none" w:sz="0" w:space="0" w:color="auto"/>
        <w:right w:val="none" w:sz="0" w:space="0" w:color="auto"/>
      </w:divBdr>
    </w:div>
    <w:div w:id="936668198">
      <w:bodyDiv w:val="1"/>
      <w:marLeft w:val="0"/>
      <w:marRight w:val="0"/>
      <w:marTop w:val="0"/>
      <w:marBottom w:val="0"/>
      <w:divBdr>
        <w:top w:val="none" w:sz="0" w:space="0" w:color="auto"/>
        <w:left w:val="none" w:sz="0" w:space="0" w:color="auto"/>
        <w:bottom w:val="none" w:sz="0" w:space="0" w:color="auto"/>
        <w:right w:val="none" w:sz="0" w:space="0" w:color="auto"/>
      </w:divBdr>
    </w:div>
    <w:div w:id="957680445">
      <w:bodyDiv w:val="1"/>
      <w:marLeft w:val="0"/>
      <w:marRight w:val="0"/>
      <w:marTop w:val="0"/>
      <w:marBottom w:val="0"/>
      <w:divBdr>
        <w:top w:val="none" w:sz="0" w:space="0" w:color="auto"/>
        <w:left w:val="none" w:sz="0" w:space="0" w:color="auto"/>
        <w:bottom w:val="none" w:sz="0" w:space="0" w:color="auto"/>
        <w:right w:val="none" w:sz="0" w:space="0" w:color="auto"/>
      </w:divBdr>
    </w:div>
    <w:div w:id="972440938">
      <w:bodyDiv w:val="1"/>
      <w:marLeft w:val="0"/>
      <w:marRight w:val="0"/>
      <w:marTop w:val="0"/>
      <w:marBottom w:val="0"/>
      <w:divBdr>
        <w:top w:val="none" w:sz="0" w:space="0" w:color="auto"/>
        <w:left w:val="none" w:sz="0" w:space="0" w:color="auto"/>
        <w:bottom w:val="none" w:sz="0" w:space="0" w:color="auto"/>
        <w:right w:val="none" w:sz="0" w:space="0" w:color="auto"/>
      </w:divBdr>
    </w:div>
    <w:div w:id="990985152">
      <w:bodyDiv w:val="1"/>
      <w:marLeft w:val="0"/>
      <w:marRight w:val="0"/>
      <w:marTop w:val="0"/>
      <w:marBottom w:val="0"/>
      <w:divBdr>
        <w:top w:val="none" w:sz="0" w:space="0" w:color="auto"/>
        <w:left w:val="none" w:sz="0" w:space="0" w:color="auto"/>
        <w:bottom w:val="none" w:sz="0" w:space="0" w:color="auto"/>
        <w:right w:val="none" w:sz="0" w:space="0" w:color="auto"/>
      </w:divBdr>
    </w:div>
    <w:div w:id="1022897006">
      <w:bodyDiv w:val="1"/>
      <w:marLeft w:val="0"/>
      <w:marRight w:val="0"/>
      <w:marTop w:val="0"/>
      <w:marBottom w:val="0"/>
      <w:divBdr>
        <w:top w:val="none" w:sz="0" w:space="0" w:color="auto"/>
        <w:left w:val="none" w:sz="0" w:space="0" w:color="auto"/>
        <w:bottom w:val="none" w:sz="0" w:space="0" w:color="auto"/>
        <w:right w:val="none" w:sz="0" w:space="0" w:color="auto"/>
      </w:divBdr>
    </w:div>
    <w:div w:id="1046223403">
      <w:bodyDiv w:val="1"/>
      <w:marLeft w:val="0"/>
      <w:marRight w:val="0"/>
      <w:marTop w:val="0"/>
      <w:marBottom w:val="0"/>
      <w:divBdr>
        <w:top w:val="none" w:sz="0" w:space="0" w:color="auto"/>
        <w:left w:val="none" w:sz="0" w:space="0" w:color="auto"/>
        <w:bottom w:val="none" w:sz="0" w:space="0" w:color="auto"/>
        <w:right w:val="none" w:sz="0" w:space="0" w:color="auto"/>
      </w:divBdr>
    </w:div>
    <w:div w:id="1053190697">
      <w:bodyDiv w:val="1"/>
      <w:marLeft w:val="0"/>
      <w:marRight w:val="0"/>
      <w:marTop w:val="0"/>
      <w:marBottom w:val="0"/>
      <w:divBdr>
        <w:top w:val="none" w:sz="0" w:space="0" w:color="auto"/>
        <w:left w:val="none" w:sz="0" w:space="0" w:color="auto"/>
        <w:bottom w:val="none" w:sz="0" w:space="0" w:color="auto"/>
        <w:right w:val="none" w:sz="0" w:space="0" w:color="auto"/>
      </w:divBdr>
    </w:div>
    <w:div w:id="1073356518">
      <w:bodyDiv w:val="1"/>
      <w:marLeft w:val="0"/>
      <w:marRight w:val="0"/>
      <w:marTop w:val="0"/>
      <w:marBottom w:val="0"/>
      <w:divBdr>
        <w:top w:val="none" w:sz="0" w:space="0" w:color="auto"/>
        <w:left w:val="none" w:sz="0" w:space="0" w:color="auto"/>
        <w:bottom w:val="none" w:sz="0" w:space="0" w:color="auto"/>
        <w:right w:val="none" w:sz="0" w:space="0" w:color="auto"/>
      </w:divBdr>
    </w:div>
    <w:div w:id="1143616707">
      <w:bodyDiv w:val="1"/>
      <w:marLeft w:val="0"/>
      <w:marRight w:val="0"/>
      <w:marTop w:val="0"/>
      <w:marBottom w:val="0"/>
      <w:divBdr>
        <w:top w:val="none" w:sz="0" w:space="0" w:color="auto"/>
        <w:left w:val="none" w:sz="0" w:space="0" w:color="auto"/>
        <w:bottom w:val="none" w:sz="0" w:space="0" w:color="auto"/>
        <w:right w:val="none" w:sz="0" w:space="0" w:color="auto"/>
      </w:divBdr>
    </w:div>
    <w:div w:id="1153987329">
      <w:bodyDiv w:val="1"/>
      <w:marLeft w:val="0"/>
      <w:marRight w:val="0"/>
      <w:marTop w:val="0"/>
      <w:marBottom w:val="0"/>
      <w:divBdr>
        <w:top w:val="none" w:sz="0" w:space="0" w:color="auto"/>
        <w:left w:val="none" w:sz="0" w:space="0" w:color="auto"/>
        <w:bottom w:val="none" w:sz="0" w:space="0" w:color="auto"/>
        <w:right w:val="none" w:sz="0" w:space="0" w:color="auto"/>
      </w:divBdr>
    </w:div>
    <w:div w:id="1170561220">
      <w:bodyDiv w:val="1"/>
      <w:marLeft w:val="0"/>
      <w:marRight w:val="0"/>
      <w:marTop w:val="0"/>
      <w:marBottom w:val="0"/>
      <w:divBdr>
        <w:top w:val="none" w:sz="0" w:space="0" w:color="auto"/>
        <w:left w:val="none" w:sz="0" w:space="0" w:color="auto"/>
        <w:bottom w:val="none" w:sz="0" w:space="0" w:color="auto"/>
        <w:right w:val="none" w:sz="0" w:space="0" w:color="auto"/>
      </w:divBdr>
    </w:div>
    <w:div w:id="1224827550">
      <w:bodyDiv w:val="1"/>
      <w:marLeft w:val="0"/>
      <w:marRight w:val="0"/>
      <w:marTop w:val="0"/>
      <w:marBottom w:val="0"/>
      <w:divBdr>
        <w:top w:val="none" w:sz="0" w:space="0" w:color="auto"/>
        <w:left w:val="none" w:sz="0" w:space="0" w:color="auto"/>
        <w:bottom w:val="none" w:sz="0" w:space="0" w:color="auto"/>
        <w:right w:val="none" w:sz="0" w:space="0" w:color="auto"/>
      </w:divBdr>
    </w:div>
    <w:div w:id="1256785597">
      <w:bodyDiv w:val="1"/>
      <w:marLeft w:val="0"/>
      <w:marRight w:val="0"/>
      <w:marTop w:val="0"/>
      <w:marBottom w:val="0"/>
      <w:divBdr>
        <w:top w:val="none" w:sz="0" w:space="0" w:color="auto"/>
        <w:left w:val="none" w:sz="0" w:space="0" w:color="auto"/>
        <w:bottom w:val="none" w:sz="0" w:space="0" w:color="auto"/>
        <w:right w:val="none" w:sz="0" w:space="0" w:color="auto"/>
      </w:divBdr>
    </w:div>
    <w:div w:id="1256985992">
      <w:bodyDiv w:val="1"/>
      <w:marLeft w:val="0"/>
      <w:marRight w:val="0"/>
      <w:marTop w:val="0"/>
      <w:marBottom w:val="0"/>
      <w:divBdr>
        <w:top w:val="none" w:sz="0" w:space="0" w:color="auto"/>
        <w:left w:val="none" w:sz="0" w:space="0" w:color="auto"/>
        <w:bottom w:val="none" w:sz="0" w:space="0" w:color="auto"/>
        <w:right w:val="none" w:sz="0" w:space="0" w:color="auto"/>
      </w:divBdr>
    </w:div>
    <w:div w:id="1262377346">
      <w:bodyDiv w:val="1"/>
      <w:marLeft w:val="0"/>
      <w:marRight w:val="0"/>
      <w:marTop w:val="0"/>
      <w:marBottom w:val="0"/>
      <w:divBdr>
        <w:top w:val="none" w:sz="0" w:space="0" w:color="auto"/>
        <w:left w:val="none" w:sz="0" w:space="0" w:color="auto"/>
        <w:bottom w:val="none" w:sz="0" w:space="0" w:color="auto"/>
        <w:right w:val="none" w:sz="0" w:space="0" w:color="auto"/>
      </w:divBdr>
    </w:div>
    <w:div w:id="1274245668">
      <w:bodyDiv w:val="1"/>
      <w:marLeft w:val="0"/>
      <w:marRight w:val="0"/>
      <w:marTop w:val="0"/>
      <w:marBottom w:val="0"/>
      <w:divBdr>
        <w:top w:val="none" w:sz="0" w:space="0" w:color="auto"/>
        <w:left w:val="none" w:sz="0" w:space="0" w:color="auto"/>
        <w:bottom w:val="none" w:sz="0" w:space="0" w:color="auto"/>
        <w:right w:val="none" w:sz="0" w:space="0" w:color="auto"/>
      </w:divBdr>
    </w:div>
    <w:div w:id="1296915259">
      <w:bodyDiv w:val="1"/>
      <w:marLeft w:val="0"/>
      <w:marRight w:val="0"/>
      <w:marTop w:val="0"/>
      <w:marBottom w:val="0"/>
      <w:divBdr>
        <w:top w:val="none" w:sz="0" w:space="0" w:color="auto"/>
        <w:left w:val="none" w:sz="0" w:space="0" w:color="auto"/>
        <w:bottom w:val="none" w:sz="0" w:space="0" w:color="auto"/>
        <w:right w:val="none" w:sz="0" w:space="0" w:color="auto"/>
      </w:divBdr>
    </w:div>
    <w:div w:id="1301568790">
      <w:bodyDiv w:val="1"/>
      <w:marLeft w:val="0"/>
      <w:marRight w:val="0"/>
      <w:marTop w:val="0"/>
      <w:marBottom w:val="0"/>
      <w:divBdr>
        <w:top w:val="none" w:sz="0" w:space="0" w:color="auto"/>
        <w:left w:val="none" w:sz="0" w:space="0" w:color="auto"/>
        <w:bottom w:val="none" w:sz="0" w:space="0" w:color="auto"/>
        <w:right w:val="none" w:sz="0" w:space="0" w:color="auto"/>
      </w:divBdr>
    </w:div>
    <w:div w:id="1328244620">
      <w:bodyDiv w:val="1"/>
      <w:marLeft w:val="0"/>
      <w:marRight w:val="0"/>
      <w:marTop w:val="0"/>
      <w:marBottom w:val="0"/>
      <w:divBdr>
        <w:top w:val="none" w:sz="0" w:space="0" w:color="auto"/>
        <w:left w:val="none" w:sz="0" w:space="0" w:color="auto"/>
        <w:bottom w:val="none" w:sz="0" w:space="0" w:color="auto"/>
        <w:right w:val="none" w:sz="0" w:space="0" w:color="auto"/>
      </w:divBdr>
    </w:div>
    <w:div w:id="1344210100">
      <w:bodyDiv w:val="1"/>
      <w:marLeft w:val="0"/>
      <w:marRight w:val="0"/>
      <w:marTop w:val="0"/>
      <w:marBottom w:val="0"/>
      <w:divBdr>
        <w:top w:val="none" w:sz="0" w:space="0" w:color="auto"/>
        <w:left w:val="none" w:sz="0" w:space="0" w:color="auto"/>
        <w:bottom w:val="none" w:sz="0" w:space="0" w:color="auto"/>
        <w:right w:val="none" w:sz="0" w:space="0" w:color="auto"/>
      </w:divBdr>
    </w:div>
    <w:div w:id="1372925410">
      <w:bodyDiv w:val="1"/>
      <w:marLeft w:val="0"/>
      <w:marRight w:val="0"/>
      <w:marTop w:val="0"/>
      <w:marBottom w:val="0"/>
      <w:divBdr>
        <w:top w:val="none" w:sz="0" w:space="0" w:color="auto"/>
        <w:left w:val="none" w:sz="0" w:space="0" w:color="auto"/>
        <w:bottom w:val="none" w:sz="0" w:space="0" w:color="auto"/>
        <w:right w:val="none" w:sz="0" w:space="0" w:color="auto"/>
      </w:divBdr>
    </w:div>
    <w:div w:id="1413576435">
      <w:bodyDiv w:val="1"/>
      <w:marLeft w:val="0"/>
      <w:marRight w:val="0"/>
      <w:marTop w:val="0"/>
      <w:marBottom w:val="0"/>
      <w:divBdr>
        <w:top w:val="none" w:sz="0" w:space="0" w:color="auto"/>
        <w:left w:val="none" w:sz="0" w:space="0" w:color="auto"/>
        <w:bottom w:val="none" w:sz="0" w:space="0" w:color="auto"/>
        <w:right w:val="none" w:sz="0" w:space="0" w:color="auto"/>
      </w:divBdr>
    </w:div>
    <w:div w:id="1443039119">
      <w:bodyDiv w:val="1"/>
      <w:marLeft w:val="0"/>
      <w:marRight w:val="0"/>
      <w:marTop w:val="0"/>
      <w:marBottom w:val="0"/>
      <w:divBdr>
        <w:top w:val="none" w:sz="0" w:space="0" w:color="auto"/>
        <w:left w:val="none" w:sz="0" w:space="0" w:color="auto"/>
        <w:bottom w:val="none" w:sz="0" w:space="0" w:color="auto"/>
        <w:right w:val="none" w:sz="0" w:space="0" w:color="auto"/>
      </w:divBdr>
    </w:div>
    <w:div w:id="1460689471">
      <w:bodyDiv w:val="1"/>
      <w:marLeft w:val="0"/>
      <w:marRight w:val="0"/>
      <w:marTop w:val="0"/>
      <w:marBottom w:val="0"/>
      <w:divBdr>
        <w:top w:val="none" w:sz="0" w:space="0" w:color="auto"/>
        <w:left w:val="none" w:sz="0" w:space="0" w:color="auto"/>
        <w:bottom w:val="none" w:sz="0" w:space="0" w:color="auto"/>
        <w:right w:val="none" w:sz="0" w:space="0" w:color="auto"/>
      </w:divBdr>
    </w:div>
    <w:div w:id="1476491656">
      <w:bodyDiv w:val="1"/>
      <w:marLeft w:val="0"/>
      <w:marRight w:val="0"/>
      <w:marTop w:val="0"/>
      <w:marBottom w:val="0"/>
      <w:divBdr>
        <w:top w:val="none" w:sz="0" w:space="0" w:color="auto"/>
        <w:left w:val="none" w:sz="0" w:space="0" w:color="auto"/>
        <w:bottom w:val="none" w:sz="0" w:space="0" w:color="auto"/>
        <w:right w:val="none" w:sz="0" w:space="0" w:color="auto"/>
      </w:divBdr>
    </w:div>
    <w:div w:id="1481386230">
      <w:bodyDiv w:val="1"/>
      <w:marLeft w:val="0"/>
      <w:marRight w:val="0"/>
      <w:marTop w:val="0"/>
      <w:marBottom w:val="0"/>
      <w:divBdr>
        <w:top w:val="none" w:sz="0" w:space="0" w:color="auto"/>
        <w:left w:val="none" w:sz="0" w:space="0" w:color="auto"/>
        <w:bottom w:val="none" w:sz="0" w:space="0" w:color="auto"/>
        <w:right w:val="none" w:sz="0" w:space="0" w:color="auto"/>
      </w:divBdr>
    </w:div>
    <w:div w:id="1526627310">
      <w:bodyDiv w:val="1"/>
      <w:marLeft w:val="0"/>
      <w:marRight w:val="0"/>
      <w:marTop w:val="0"/>
      <w:marBottom w:val="0"/>
      <w:divBdr>
        <w:top w:val="none" w:sz="0" w:space="0" w:color="auto"/>
        <w:left w:val="none" w:sz="0" w:space="0" w:color="auto"/>
        <w:bottom w:val="none" w:sz="0" w:space="0" w:color="auto"/>
        <w:right w:val="none" w:sz="0" w:space="0" w:color="auto"/>
      </w:divBdr>
    </w:div>
    <w:div w:id="1556891739">
      <w:bodyDiv w:val="1"/>
      <w:marLeft w:val="0"/>
      <w:marRight w:val="0"/>
      <w:marTop w:val="0"/>
      <w:marBottom w:val="0"/>
      <w:divBdr>
        <w:top w:val="none" w:sz="0" w:space="0" w:color="auto"/>
        <w:left w:val="none" w:sz="0" w:space="0" w:color="auto"/>
        <w:bottom w:val="none" w:sz="0" w:space="0" w:color="auto"/>
        <w:right w:val="none" w:sz="0" w:space="0" w:color="auto"/>
      </w:divBdr>
    </w:div>
    <w:div w:id="1598060096">
      <w:bodyDiv w:val="1"/>
      <w:marLeft w:val="0"/>
      <w:marRight w:val="0"/>
      <w:marTop w:val="0"/>
      <w:marBottom w:val="0"/>
      <w:divBdr>
        <w:top w:val="none" w:sz="0" w:space="0" w:color="auto"/>
        <w:left w:val="none" w:sz="0" w:space="0" w:color="auto"/>
        <w:bottom w:val="none" w:sz="0" w:space="0" w:color="auto"/>
        <w:right w:val="none" w:sz="0" w:space="0" w:color="auto"/>
      </w:divBdr>
    </w:div>
    <w:div w:id="1611860494">
      <w:bodyDiv w:val="1"/>
      <w:marLeft w:val="0"/>
      <w:marRight w:val="0"/>
      <w:marTop w:val="0"/>
      <w:marBottom w:val="0"/>
      <w:divBdr>
        <w:top w:val="none" w:sz="0" w:space="0" w:color="auto"/>
        <w:left w:val="none" w:sz="0" w:space="0" w:color="auto"/>
        <w:bottom w:val="none" w:sz="0" w:space="0" w:color="auto"/>
        <w:right w:val="none" w:sz="0" w:space="0" w:color="auto"/>
      </w:divBdr>
    </w:div>
    <w:div w:id="1643147947">
      <w:bodyDiv w:val="1"/>
      <w:marLeft w:val="0"/>
      <w:marRight w:val="0"/>
      <w:marTop w:val="0"/>
      <w:marBottom w:val="0"/>
      <w:divBdr>
        <w:top w:val="none" w:sz="0" w:space="0" w:color="auto"/>
        <w:left w:val="none" w:sz="0" w:space="0" w:color="auto"/>
        <w:bottom w:val="none" w:sz="0" w:space="0" w:color="auto"/>
        <w:right w:val="none" w:sz="0" w:space="0" w:color="auto"/>
      </w:divBdr>
    </w:div>
    <w:div w:id="1667249561">
      <w:bodyDiv w:val="1"/>
      <w:marLeft w:val="0"/>
      <w:marRight w:val="0"/>
      <w:marTop w:val="0"/>
      <w:marBottom w:val="0"/>
      <w:divBdr>
        <w:top w:val="none" w:sz="0" w:space="0" w:color="auto"/>
        <w:left w:val="none" w:sz="0" w:space="0" w:color="auto"/>
        <w:bottom w:val="none" w:sz="0" w:space="0" w:color="auto"/>
        <w:right w:val="none" w:sz="0" w:space="0" w:color="auto"/>
      </w:divBdr>
    </w:div>
    <w:div w:id="1701583734">
      <w:bodyDiv w:val="1"/>
      <w:marLeft w:val="0"/>
      <w:marRight w:val="0"/>
      <w:marTop w:val="0"/>
      <w:marBottom w:val="0"/>
      <w:divBdr>
        <w:top w:val="none" w:sz="0" w:space="0" w:color="auto"/>
        <w:left w:val="none" w:sz="0" w:space="0" w:color="auto"/>
        <w:bottom w:val="none" w:sz="0" w:space="0" w:color="auto"/>
        <w:right w:val="none" w:sz="0" w:space="0" w:color="auto"/>
      </w:divBdr>
    </w:div>
    <w:div w:id="1704864379">
      <w:bodyDiv w:val="1"/>
      <w:marLeft w:val="0"/>
      <w:marRight w:val="0"/>
      <w:marTop w:val="0"/>
      <w:marBottom w:val="0"/>
      <w:divBdr>
        <w:top w:val="none" w:sz="0" w:space="0" w:color="auto"/>
        <w:left w:val="none" w:sz="0" w:space="0" w:color="auto"/>
        <w:bottom w:val="none" w:sz="0" w:space="0" w:color="auto"/>
        <w:right w:val="none" w:sz="0" w:space="0" w:color="auto"/>
      </w:divBdr>
    </w:div>
    <w:div w:id="1705789290">
      <w:bodyDiv w:val="1"/>
      <w:marLeft w:val="0"/>
      <w:marRight w:val="0"/>
      <w:marTop w:val="0"/>
      <w:marBottom w:val="0"/>
      <w:divBdr>
        <w:top w:val="none" w:sz="0" w:space="0" w:color="auto"/>
        <w:left w:val="none" w:sz="0" w:space="0" w:color="auto"/>
        <w:bottom w:val="none" w:sz="0" w:space="0" w:color="auto"/>
        <w:right w:val="none" w:sz="0" w:space="0" w:color="auto"/>
      </w:divBdr>
    </w:div>
    <w:div w:id="1706052480">
      <w:bodyDiv w:val="1"/>
      <w:marLeft w:val="0"/>
      <w:marRight w:val="0"/>
      <w:marTop w:val="0"/>
      <w:marBottom w:val="0"/>
      <w:divBdr>
        <w:top w:val="none" w:sz="0" w:space="0" w:color="auto"/>
        <w:left w:val="none" w:sz="0" w:space="0" w:color="auto"/>
        <w:bottom w:val="none" w:sz="0" w:space="0" w:color="auto"/>
        <w:right w:val="none" w:sz="0" w:space="0" w:color="auto"/>
      </w:divBdr>
    </w:div>
    <w:div w:id="1735465223">
      <w:bodyDiv w:val="1"/>
      <w:marLeft w:val="0"/>
      <w:marRight w:val="0"/>
      <w:marTop w:val="0"/>
      <w:marBottom w:val="0"/>
      <w:divBdr>
        <w:top w:val="none" w:sz="0" w:space="0" w:color="auto"/>
        <w:left w:val="none" w:sz="0" w:space="0" w:color="auto"/>
        <w:bottom w:val="none" w:sz="0" w:space="0" w:color="auto"/>
        <w:right w:val="none" w:sz="0" w:space="0" w:color="auto"/>
      </w:divBdr>
    </w:div>
    <w:div w:id="1813981904">
      <w:bodyDiv w:val="1"/>
      <w:marLeft w:val="0"/>
      <w:marRight w:val="0"/>
      <w:marTop w:val="0"/>
      <w:marBottom w:val="0"/>
      <w:divBdr>
        <w:top w:val="none" w:sz="0" w:space="0" w:color="auto"/>
        <w:left w:val="none" w:sz="0" w:space="0" w:color="auto"/>
        <w:bottom w:val="none" w:sz="0" w:space="0" w:color="auto"/>
        <w:right w:val="none" w:sz="0" w:space="0" w:color="auto"/>
      </w:divBdr>
    </w:div>
    <w:div w:id="1833182561">
      <w:bodyDiv w:val="1"/>
      <w:marLeft w:val="0"/>
      <w:marRight w:val="0"/>
      <w:marTop w:val="0"/>
      <w:marBottom w:val="0"/>
      <w:divBdr>
        <w:top w:val="none" w:sz="0" w:space="0" w:color="auto"/>
        <w:left w:val="none" w:sz="0" w:space="0" w:color="auto"/>
        <w:bottom w:val="none" w:sz="0" w:space="0" w:color="auto"/>
        <w:right w:val="none" w:sz="0" w:space="0" w:color="auto"/>
      </w:divBdr>
    </w:div>
    <w:div w:id="1860461541">
      <w:bodyDiv w:val="1"/>
      <w:marLeft w:val="0"/>
      <w:marRight w:val="0"/>
      <w:marTop w:val="0"/>
      <w:marBottom w:val="0"/>
      <w:divBdr>
        <w:top w:val="none" w:sz="0" w:space="0" w:color="auto"/>
        <w:left w:val="none" w:sz="0" w:space="0" w:color="auto"/>
        <w:bottom w:val="none" w:sz="0" w:space="0" w:color="auto"/>
        <w:right w:val="none" w:sz="0" w:space="0" w:color="auto"/>
      </w:divBdr>
    </w:div>
    <w:div w:id="1870953160">
      <w:bodyDiv w:val="1"/>
      <w:marLeft w:val="0"/>
      <w:marRight w:val="0"/>
      <w:marTop w:val="0"/>
      <w:marBottom w:val="0"/>
      <w:divBdr>
        <w:top w:val="none" w:sz="0" w:space="0" w:color="auto"/>
        <w:left w:val="none" w:sz="0" w:space="0" w:color="auto"/>
        <w:bottom w:val="none" w:sz="0" w:space="0" w:color="auto"/>
        <w:right w:val="none" w:sz="0" w:space="0" w:color="auto"/>
      </w:divBdr>
    </w:div>
    <w:div w:id="1873104228">
      <w:bodyDiv w:val="1"/>
      <w:marLeft w:val="0"/>
      <w:marRight w:val="0"/>
      <w:marTop w:val="0"/>
      <w:marBottom w:val="0"/>
      <w:divBdr>
        <w:top w:val="none" w:sz="0" w:space="0" w:color="auto"/>
        <w:left w:val="none" w:sz="0" w:space="0" w:color="auto"/>
        <w:bottom w:val="none" w:sz="0" w:space="0" w:color="auto"/>
        <w:right w:val="none" w:sz="0" w:space="0" w:color="auto"/>
      </w:divBdr>
    </w:div>
    <w:div w:id="1949383273">
      <w:bodyDiv w:val="1"/>
      <w:marLeft w:val="0"/>
      <w:marRight w:val="0"/>
      <w:marTop w:val="0"/>
      <w:marBottom w:val="0"/>
      <w:divBdr>
        <w:top w:val="none" w:sz="0" w:space="0" w:color="auto"/>
        <w:left w:val="none" w:sz="0" w:space="0" w:color="auto"/>
        <w:bottom w:val="none" w:sz="0" w:space="0" w:color="auto"/>
        <w:right w:val="none" w:sz="0" w:space="0" w:color="auto"/>
      </w:divBdr>
    </w:div>
    <w:div w:id="1951816462">
      <w:bodyDiv w:val="1"/>
      <w:marLeft w:val="0"/>
      <w:marRight w:val="0"/>
      <w:marTop w:val="0"/>
      <w:marBottom w:val="0"/>
      <w:divBdr>
        <w:top w:val="none" w:sz="0" w:space="0" w:color="auto"/>
        <w:left w:val="none" w:sz="0" w:space="0" w:color="auto"/>
        <w:bottom w:val="none" w:sz="0" w:space="0" w:color="auto"/>
        <w:right w:val="none" w:sz="0" w:space="0" w:color="auto"/>
      </w:divBdr>
    </w:div>
    <w:div w:id="1953591758">
      <w:bodyDiv w:val="1"/>
      <w:marLeft w:val="0"/>
      <w:marRight w:val="0"/>
      <w:marTop w:val="0"/>
      <w:marBottom w:val="0"/>
      <w:divBdr>
        <w:top w:val="none" w:sz="0" w:space="0" w:color="auto"/>
        <w:left w:val="none" w:sz="0" w:space="0" w:color="auto"/>
        <w:bottom w:val="none" w:sz="0" w:space="0" w:color="auto"/>
        <w:right w:val="none" w:sz="0" w:space="0" w:color="auto"/>
      </w:divBdr>
    </w:div>
    <w:div w:id="1978144679">
      <w:bodyDiv w:val="1"/>
      <w:marLeft w:val="0"/>
      <w:marRight w:val="0"/>
      <w:marTop w:val="0"/>
      <w:marBottom w:val="0"/>
      <w:divBdr>
        <w:top w:val="none" w:sz="0" w:space="0" w:color="auto"/>
        <w:left w:val="none" w:sz="0" w:space="0" w:color="auto"/>
        <w:bottom w:val="none" w:sz="0" w:space="0" w:color="auto"/>
        <w:right w:val="none" w:sz="0" w:space="0" w:color="auto"/>
      </w:divBdr>
    </w:div>
    <w:div w:id="1993826512">
      <w:bodyDiv w:val="1"/>
      <w:marLeft w:val="0"/>
      <w:marRight w:val="0"/>
      <w:marTop w:val="0"/>
      <w:marBottom w:val="0"/>
      <w:divBdr>
        <w:top w:val="none" w:sz="0" w:space="0" w:color="auto"/>
        <w:left w:val="none" w:sz="0" w:space="0" w:color="auto"/>
        <w:bottom w:val="none" w:sz="0" w:space="0" w:color="auto"/>
        <w:right w:val="none" w:sz="0" w:space="0" w:color="auto"/>
      </w:divBdr>
    </w:div>
    <w:div w:id="1999337979">
      <w:bodyDiv w:val="1"/>
      <w:marLeft w:val="0"/>
      <w:marRight w:val="0"/>
      <w:marTop w:val="0"/>
      <w:marBottom w:val="0"/>
      <w:divBdr>
        <w:top w:val="none" w:sz="0" w:space="0" w:color="auto"/>
        <w:left w:val="none" w:sz="0" w:space="0" w:color="auto"/>
        <w:bottom w:val="none" w:sz="0" w:space="0" w:color="auto"/>
        <w:right w:val="none" w:sz="0" w:space="0" w:color="auto"/>
      </w:divBdr>
    </w:div>
    <w:div w:id="2003386171">
      <w:bodyDiv w:val="1"/>
      <w:marLeft w:val="0"/>
      <w:marRight w:val="0"/>
      <w:marTop w:val="0"/>
      <w:marBottom w:val="0"/>
      <w:divBdr>
        <w:top w:val="none" w:sz="0" w:space="0" w:color="auto"/>
        <w:left w:val="none" w:sz="0" w:space="0" w:color="auto"/>
        <w:bottom w:val="none" w:sz="0" w:space="0" w:color="auto"/>
        <w:right w:val="none" w:sz="0" w:space="0" w:color="auto"/>
      </w:divBdr>
    </w:div>
    <w:div w:id="2033532090">
      <w:bodyDiv w:val="1"/>
      <w:marLeft w:val="0"/>
      <w:marRight w:val="0"/>
      <w:marTop w:val="0"/>
      <w:marBottom w:val="0"/>
      <w:divBdr>
        <w:top w:val="none" w:sz="0" w:space="0" w:color="auto"/>
        <w:left w:val="none" w:sz="0" w:space="0" w:color="auto"/>
        <w:bottom w:val="none" w:sz="0" w:space="0" w:color="auto"/>
        <w:right w:val="none" w:sz="0" w:space="0" w:color="auto"/>
      </w:divBdr>
    </w:div>
    <w:div w:id="2033874841">
      <w:bodyDiv w:val="1"/>
      <w:marLeft w:val="0"/>
      <w:marRight w:val="0"/>
      <w:marTop w:val="0"/>
      <w:marBottom w:val="0"/>
      <w:divBdr>
        <w:top w:val="none" w:sz="0" w:space="0" w:color="auto"/>
        <w:left w:val="none" w:sz="0" w:space="0" w:color="auto"/>
        <w:bottom w:val="none" w:sz="0" w:space="0" w:color="auto"/>
        <w:right w:val="none" w:sz="0" w:space="0" w:color="auto"/>
      </w:divBdr>
    </w:div>
    <w:div w:id="2103522111">
      <w:bodyDiv w:val="1"/>
      <w:marLeft w:val="0"/>
      <w:marRight w:val="0"/>
      <w:marTop w:val="0"/>
      <w:marBottom w:val="0"/>
      <w:divBdr>
        <w:top w:val="none" w:sz="0" w:space="0" w:color="auto"/>
        <w:left w:val="none" w:sz="0" w:space="0" w:color="auto"/>
        <w:bottom w:val="none" w:sz="0" w:space="0" w:color="auto"/>
        <w:right w:val="none" w:sz="0" w:space="0" w:color="auto"/>
      </w:divBdr>
    </w:div>
    <w:div w:id="213582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chart" Target="charts/chart12.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7.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chart" Target="charts/chart15.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image" Target="media/image8.png"/><Relationship Id="rId30" Type="http://schemas.openxmlformats.org/officeDocument/2006/relationships/hyperlink" Target="http://www.kalesija.ba" TargetMode="External"/><Relationship Id="rId35" Type="http://schemas.openxmlformats.org/officeDocument/2006/relationships/chart" Target="charts/chart1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pPr>
        <a:solidFill>
          <a:schemeClr val="bg2"/>
        </a:solidFill>
        <a:ln>
          <a:solidFill>
            <a:schemeClr val="accent1"/>
          </a:solidFill>
        </a:ln>
        <a:effectLst>
          <a:innerShdw blurRad="63500" dist="50800" dir="13500000">
            <a:prstClr val="black">
              <a:alpha val="50000"/>
            </a:prstClr>
          </a:innerShdw>
        </a:effectLst>
        <a:scene3d>
          <a:camera prst="orthographicFront"/>
          <a:lightRig rig="threePt" dir="t"/>
        </a:scene3d>
        <a:sp3d>
          <a:bevelB/>
        </a:sp3d>
      </c:spPr>
    </c:sideWall>
    <c:backWall>
      <c:thickness val="0"/>
      <c:spPr>
        <a:solidFill>
          <a:schemeClr val="bg2"/>
        </a:solidFill>
        <a:ln>
          <a:solidFill>
            <a:schemeClr val="accent1"/>
          </a:solidFill>
        </a:ln>
        <a:effectLst>
          <a:innerShdw blurRad="63500" dist="50800" dir="13500000">
            <a:prstClr val="black">
              <a:alpha val="50000"/>
            </a:prstClr>
          </a:innerShdw>
        </a:effectLst>
        <a:scene3d>
          <a:camera prst="orthographicFront"/>
          <a:lightRig rig="threePt" dir="t"/>
        </a:scene3d>
        <a:sp3d>
          <a:bevelB/>
        </a:sp3d>
      </c:spPr>
    </c:backWall>
    <c:plotArea>
      <c:layout/>
      <c:bar3DChart>
        <c:barDir val="col"/>
        <c:grouping val="clustered"/>
        <c:varyColors val="0"/>
        <c:ser>
          <c:idx val="0"/>
          <c:order val="0"/>
          <c:tx>
            <c:strRef>
              <c:f>Sheet1!$F$7</c:f>
              <c:strCache>
                <c:ptCount val="1"/>
              </c:strCache>
            </c:strRef>
          </c:tx>
          <c:spPr>
            <a:gradFill>
              <a:gsLst>
                <a:gs pos="0">
                  <a:srgbClr val="5E9EFF"/>
                </a:gs>
                <a:gs pos="54000">
                  <a:srgbClr val="85C2FF"/>
                </a:gs>
                <a:gs pos="86000">
                  <a:srgbClr val="C4D6EB"/>
                </a:gs>
                <a:gs pos="100000">
                  <a:srgbClr val="FFEBFA"/>
                </a:gs>
              </a:gsLst>
              <a:lin ang="5400000" scaled="0"/>
            </a:gradFill>
            <a:ln w="9525">
              <a:solidFill>
                <a:schemeClr val="accent1">
                  <a:lumMod val="75000"/>
                </a:schemeClr>
              </a:solidFill>
            </a:ln>
            <a:effectLst>
              <a:outerShdw blurRad="50800" dir="5040000" algn="ctr" rotWithShape="0">
                <a:srgbClr val="000000">
                  <a:alpha val="46000"/>
                </a:srgbClr>
              </a:outerShdw>
            </a:effectLst>
          </c:spPr>
          <c:invertIfNegative val="0"/>
          <c:dLbls>
            <c:dLbl>
              <c:idx val="0"/>
              <c:layout>
                <c:manualLayout>
                  <c:x val="1.864865909764557E-2"/>
                  <c:y val="-1.55825491325779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F57-4B73-B837-B5CEAD1B7A9B}"/>
                </c:ext>
              </c:extLst>
            </c:dLbl>
            <c:dLbl>
              <c:idx val="1"/>
              <c:layout>
                <c:manualLayout>
                  <c:x val="1.5871060307314309E-2"/>
                  <c:y val="-1.6598809295179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F57-4B73-B837-B5CEAD1B7A9B}"/>
                </c:ext>
              </c:extLst>
            </c:dLbl>
            <c:dLbl>
              <c:idx val="2"/>
              <c:layout>
                <c:manualLayout>
                  <c:x val="1.4879956699356933E-2"/>
                  <c:y val="-1.72764227642276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F57-4B73-B837-B5CEAD1B7A9B}"/>
                </c:ext>
              </c:extLst>
            </c:dLbl>
            <c:dLbl>
              <c:idx val="3"/>
              <c:layout>
                <c:manualLayout>
                  <c:x val="1.7657727317636887E-2"/>
                  <c:y val="-1.67117982203443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57-4B73-B837-B5CEAD1B7A9B}"/>
                </c:ext>
              </c:extLst>
            </c:dLbl>
            <c:dLbl>
              <c:idx val="4"/>
              <c:layout>
                <c:manualLayout>
                  <c:x val="1.2697741751184538E-2"/>
                  <c:y val="-1.15175084821714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F57-4B73-B837-B5CEAD1B7A9B}"/>
                </c:ext>
              </c:extLst>
            </c:dLbl>
            <c:dLbl>
              <c:idx val="5"/>
              <c:layout>
                <c:manualLayout>
                  <c:x val="1.3888853091399605E-2"/>
                  <c:y val="-1.09528839382882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F57-4B73-B837-B5CEAD1B7A9B}"/>
                </c:ext>
              </c:extLst>
            </c:dLbl>
            <c:dLbl>
              <c:idx val="6"/>
              <c:layout>
                <c:manualLayout>
                  <c:x val="1.5079964431614619E-2"/>
                  <c:y val="-1.52439024390243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F57-4B73-B837-B5CEAD1B7A9B}"/>
                </c:ext>
              </c:extLst>
            </c:dLbl>
            <c:numFmt formatCode="General" sourceLinked="0"/>
            <c:spPr>
              <a:solidFill>
                <a:schemeClr val="tx2">
                  <a:lumMod val="20000"/>
                  <a:lumOff val="80000"/>
                </a:schemeClr>
              </a:solidFill>
              <a:ln>
                <a:solidFill>
                  <a:schemeClr val="tx2"/>
                </a:solidFill>
              </a:ln>
              <a:effectLst>
                <a:innerShdw blurRad="63500" dist="50800" dir="13500000">
                  <a:prstClr val="black">
                    <a:alpha val="50000"/>
                  </a:prstClr>
                </a:innerShdw>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Sheet1!$G$6:$M$6</c:f>
              <c:numCache>
                <c:formatCode>General</c:formatCode>
                <c:ptCount val="7"/>
                <c:pt idx="0">
                  <c:v>1991</c:v>
                </c:pt>
                <c:pt idx="1">
                  <c:v>1996</c:v>
                </c:pt>
                <c:pt idx="2">
                  <c:v>2003</c:v>
                </c:pt>
                <c:pt idx="3">
                  <c:v>2004</c:v>
                </c:pt>
                <c:pt idx="4">
                  <c:v>2005</c:v>
                </c:pt>
                <c:pt idx="5">
                  <c:v>2006</c:v>
                </c:pt>
                <c:pt idx="6">
                  <c:v>2013</c:v>
                </c:pt>
              </c:numCache>
            </c:numRef>
          </c:cat>
          <c:val>
            <c:numRef>
              <c:f>Sheet1!$G$7:$M$7</c:f>
              <c:numCache>
                <c:formatCode>General</c:formatCode>
                <c:ptCount val="7"/>
                <c:pt idx="0">
                  <c:v>41809</c:v>
                </c:pt>
                <c:pt idx="1">
                  <c:v>36942</c:v>
                </c:pt>
                <c:pt idx="2">
                  <c:v>38454</c:v>
                </c:pt>
                <c:pt idx="3">
                  <c:v>39053</c:v>
                </c:pt>
                <c:pt idx="4">
                  <c:v>39583</c:v>
                </c:pt>
                <c:pt idx="5">
                  <c:v>39820</c:v>
                </c:pt>
                <c:pt idx="6">
                  <c:v>33053</c:v>
                </c:pt>
              </c:numCache>
            </c:numRef>
          </c:val>
          <c:extLst xmlns:c16r2="http://schemas.microsoft.com/office/drawing/2015/06/chart">
            <c:ext xmlns:c16="http://schemas.microsoft.com/office/drawing/2014/chart" uri="{C3380CC4-5D6E-409C-BE32-E72D297353CC}">
              <c16:uniqueId val="{00000007-6F57-4B73-B837-B5CEAD1B7A9B}"/>
            </c:ext>
          </c:extLst>
        </c:ser>
        <c:dLbls>
          <c:showLegendKey val="0"/>
          <c:showVal val="0"/>
          <c:showCatName val="0"/>
          <c:showSerName val="0"/>
          <c:showPercent val="0"/>
          <c:showBubbleSize val="0"/>
        </c:dLbls>
        <c:gapWidth val="150"/>
        <c:shape val="box"/>
        <c:axId val="126812544"/>
        <c:axId val="126814080"/>
        <c:axId val="0"/>
      </c:bar3DChart>
      <c:catAx>
        <c:axId val="126812544"/>
        <c:scaling>
          <c:orientation val="minMax"/>
        </c:scaling>
        <c:delete val="0"/>
        <c:axPos val="b"/>
        <c:numFmt formatCode="General" sourceLinked="1"/>
        <c:majorTickMark val="out"/>
        <c:minorTickMark val="none"/>
        <c:tickLblPos val="nextTo"/>
        <c:crossAx val="126814080"/>
        <c:crosses val="autoZero"/>
        <c:auto val="1"/>
        <c:lblAlgn val="ctr"/>
        <c:lblOffset val="100"/>
        <c:noMultiLvlLbl val="0"/>
      </c:catAx>
      <c:valAx>
        <c:axId val="126814080"/>
        <c:scaling>
          <c:orientation val="minMax"/>
          <c:max val="40000"/>
        </c:scaling>
        <c:delete val="0"/>
        <c:axPos val="l"/>
        <c:majorGridlines>
          <c:spPr>
            <a:effectLst>
              <a:outerShdw blurRad="50800" dist="50800" dir="5400000" algn="ctr" rotWithShape="0">
                <a:srgbClr val="000000"/>
              </a:outerShdw>
            </a:effectLst>
          </c:spPr>
        </c:majorGridlines>
        <c:numFmt formatCode="General" sourceLinked="1"/>
        <c:majorTickMark val="out"/>
        <c:minorTickMark val="none"/>
        <c:tickLblPos val="nextTo"/>
        <c:crossAx val="126812544"/>
        <c:crosses val="autoZero"/>
        <c:crossBetween val="between"/>
        <c:majorUnit val="10000"/>
      </c:valAx>
    </c:plotArea>
    <c:plotVisOnly val="1"/>
    <c:dispBlanksAs val="gap"/>
    <c:showDLblsOverMax val="0"/>
  </c:chart>
  <c:spPr>
    <a:pattFill prst="pct5">
      <a:fgClr>
        <a:schemeClr val="bg2"/>
      </a:fgClr>
      <a:bgClr>
        <a:schemeClr val="bg1"/>
      </a:bgClr>
    </a:pattFill>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185185185185186"/>
          <c:y val="8.2352941176470726E-2"/>
          <c:w val="0.79320987654321162"/>
          <c:h val="0.75294117647059167"/>
        </c:manualLayout>
      </c:layout>
      <c:bar3DChart>
        <c:barDir val="col"/>
        <c:grouping val="clustered"/>
        <c:varyColors val="0"/>
        <c:ser>
          <c:idx val="0"/>
          <c:order val="0"/>
          <c:tx>
            <c:strRef>
              <c:f>Sheet1!$A$2</c:f>
              <c:strCache>
                <c:ptCount val="1"/>
                <c:pt idx="0">
                  <c:v>2012</c:v>
                </c:pt>
              </c:strCache>
            </c:strRef>
          </c:tx>
          <c:spPr>
            <a:solidFill>
              <a:srgbClr val="9999FF"/>
            </a:solidFill>
            <a:ln w="12716">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Sheet1!$B$2:$F$2</c:f>
              <c:numCache>
                <c:formatCode>General</c:formatCode>
                <c:ptCount val="5"/>
                <c:pt idx="0">
                  <c:v>8691909</c:v>
                </c:pt>
                <c:pt idx="1">
                  <c:v>6389930</c:v>
                </c:pt>
                <c:pt idx="2">
                  <c:v>7530490</c:v>
                </c:pt>
                <c:pt idx="3">
                  <c:v>7368068</c:v>
                </c:pt>
                <c:pt idx="4">
                  <c:v>8515218</c:v>
                </c:pt>
              </c:numCache>
            </c:numRef>
          </c:val>
          <c:extLst xmlns:c16r2="http://schemas.microsoft.com/office/drawing/2015/06/chart">
            <c:ext xmlns:c16="http://schemas.microsoft.com/office/drawing/2014/chart" uri="{C3380CC4-5D6E-409C-BE32-E72D297353CC}">
              <c16:uniqueId val="{00000000-1451-43EE-9655-D9EDE46FEFC8}"/>
            </c:ext>
          </c:extLst>
        </c:ser>
        <c:ser>
          <c:idx val="1"/>
          <c:order val="1"/>
          <c:tx>
            <c:strRef>
              <c:f>Sheet1!$A$3</c:f>
              <c:strCache>
                <c:ptCount val="1"/>
                <c:pt idx="0">
                  <c:v>2013</c:v>
                </c:pt>
              </c:strCache>
            </c:strRef>
          </c:tx>
          <c:spPr>
            <a:solidFill>
              <a:srgbClr val="993366"/>
            </a:solidFill>
            <a:ln w="12716">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Sheet1!$B$3:$F$3</c:f>
              <c:numCache>
                <c:formatCode>General</c:formatCode>
                <c:ptCount val="5"/>
                <c:pt idx="0">
                  <c:v>30.6</c:v>
                </c:pt>
                <c:pt idx="1">
                  <c:v>38.6</c:v>
                </c:pt>
                <c:pt idx="2">
                  <c:v>34.6</c:v>
                </c:pt>
                <c:pt idx="3">
                  <c:v>31.6</c:v>
                </c:pt>
              </c:numCache>
            </c:numRef>
          </c:val>
          <c:extLst xmlns:c16r2="http://schemas.microsoft.com/office/drawing/2015/06/chart">
            <c:ext xmlns:c16="http://schemas.microsoft.com/office/drawing/2014/chart" uri="{C3380CC4-5D6E-409C-BE32-E72D297353CC}">
              <c16:uniqueId val="{00000001-1451-43EE-9655-D9EDE46FEFC8}"/>
            </c:ext>
          </c:extLst>
        </c:ser>
        <c:ser>
          <c:idx val="2"/>
          <c:order val="2"/>
          <c:tx>
            <c:strRef>
              <c:f>Sheet1!$A$4</c:f>
              <c:strCache>
                <c:ptCount val="1"/>
                <c:pt idx="0">
                  <c:v>2014</c:v>
                </c:pt>
              </c:strCache>
            </c:strRef>
          </c:tx>
          <c:spPr>
            <a:solidFill>
              <a:srgbClr val="FFFFCC"/>
            </a:solidFill>
            <a:ln w="12716">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Sheet1!$B$4:$F$4</c:f>
              <c:numCache>
                <c:formatCode>General</c:formatCode>
                <c:ptCount val="5"/>
                <c:pt idx="0">
                  <c:v>45.9</c:v>
                </c:pt>
                <c:pt idx="1">
                  <c:v>46.9</c:v>
                </c:pt>
                <c:pt idx="2">
                  <c:v>45</c:v>
                </c:pt>
                <c:pt idx="3">
                  <c:v>43.9</c:v>
                </c:pt>
              </c:numCache>
            </c:numRef>
          </c:val>
          <c:extLst xmlns:c16r2="http://schemas.microsoft.com/office/drawing/2015/06/chart">
            <c:ext xmlns:c16="http://schemas.microsoft.com/office/drawing/2014/chart" uri="{C3380CC4-5D6E-409C-BE32-E72D297353CC}">
              <c16:uniqueId val="{00000002-1451-43EE-9655-D9EDE46FEFC8}"/>
            </c:ext>
          </c:extLst>
        </c:ser>
        <c:ser>
          <c:idx val="3"/>
          <c:order val="3"/>
          <c:tx>
            <c:strRef>
              <c:f>Sheet1!$A$5</c:f>
              <c:strCache>
                <c:ptCount val="1"/>
                <c:pt idx="0">
                  <c:v>2015</c:v>
                </c:pt>
              </c:strCache>
            </c:strRef>
          </c:tx>
          <c:spPr>
            <a:solidFill>
              <a:srgbClr val="CCFFFF"/>
            </a:solidFill>
            <a:ln w="12716">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Sheet1!$B$5:$F$5</c:f>
              <c:numCache>
                <c:formatCode>General</c:formatCode>
                <c:ptCount val="5"/>
              </c:numCache>
            </c:numRef>
          </c:val>
          <c:extLst xmlns:c16r2="http://schemas.microsoft.com/office/drawing/2015/06/chart">
            <c:ext xmlns:c16="http://schemas.microsoft.com/office/drawing/2014/chart" uri="{C3380CC4-5D6E-409C-BE32-E72D297353CC}">
              <c16:uniqueId val="{00000003-1451-43EE-9655-D9EDE46FEFC8}"/>
            </c:ext>
          </c:extLst>
        </c:ser>
        <c:ser>
          <c:idx val="4"/>
          <c:order val="4"/>
          <c:tx>
            <c:strRef>
              <c:f>Sheet1!$A$6</c:f>
              <c:strCache>
                <c:ptCount val="1"/>
                <c:pt idx="0">
                  <c:v>2016</c:v>
                </c:pt>
              </c:strCache>
            </c:strRef>
          </c:tx>
          <c:spPr>
            <a:solidFill>
              <a:srgbClr val="660066"/>
            </a:solidFill>
            <a:ln w="12716">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Sheet1!$B$6:$F$6</c:f>
              <c:numCache>
                <c:formatCode>General</c:formatCode>
                <c:ptCount val="5"/>
              </c:numCache>
            </c:numRef>
          </c:val>
          <c:extLst xmlns:c16r2="http://schemas.microsoft.com/office/drawing/2015/06/chart">
            <c:ext xmlns:c16="http://schemas.microsoft.com/office/drawing/2014/chart" uri="{C3380CC4-5D6E-409C-BE32-E72D297353CC}">
              <c16:uniqueId val="{00000004-1451-43EE-9655-D9EDE46FEFC8}"/>
            </c:ext>
          </c:extLst>
        </c:ser>
        <c:dLbls>
          <c:showLegendKey val="0"/>
          <c:showVal val="0"/>
          <c:showCatName val="0"/>
          <c:showSerName val="0"/>
          <c:showPercent val="0"/>
          <c:showBubbleSize val="0"/>
        </c:dLbls>
        <c:gapWidth val="150"/>
        <c:gapDepth val="0"/>
        <c:shape val="box"/>
        <c:axId val="197757568"/>
        <c:axId val="197775744"/>
        <c:axId val="0"/>
      </c:bar3DChart>
      <c:catAx>
        <c:axId val="197757568"/>
        <c:scaling>
          <c:orientation val="minMax"/>
        </c:scaling>
        <c:delete val="0"/>
        <c:axPos val="b"/>
        <c:numFmt formatCode="General" sourceLinked="1"/>
        <c:majorTickMark val="out"/>
        <c:minorTickMark val="none"/>
        <c:tickLblPos val="low"/>
        <c:spPr>
          <a:ln w="3179">
            <a:solidFill>
              <a:srgbClr val="000000"/>
            </a:solidFill>
            <a:prstDash val="solid"/>
          </a:ln>
        </c:spPr>
        <c:txPr>
          <a:bodyPr rot="0" vert="horz"/>
          <a:lstStyle/>
          <a:p>
            <a:pPr>
              <a:defRPr sz="901" b="1" i="0" u="none" strike="noStrike" baseline="0">
                <a:solidFill>
                  <a:srgbClr val="000000"/>
                </a:solidFill>
                <a:latin typeface="Calibri"/>
                <a:ea typeface="Calibri"/>
                <a:cs typeface="Calibri"/>
              </a:defRPr>
            </a:pPr>
            <a:endParaRPr lang="sr-Latn-RS"/>
          </a:p>
        </c:txPr>
        <c:crossAx val="197775744"/>
        <c:crosses val="autoZero"/>
        <c:auto val="1"/>
        <c:lblAlgn val="ctr"/>
        <c:lblOffset val="100"/>
        <c:tickLblSkip val="1"/>
        <c:tickMarkSkip val="1"/>
        <c:noMultiLvlLbl val="0"/>
      </c:catAx>
      <c:valAx>
        <c:axId val="197775744"/>
        <c:scaling>
          <c:orientation val="minMax"/>
        </c:scaling>
        <c:delete val="0"/>
        <c:axPos val="l"/>
        <c:majorGridlines>
          <c:spPr>
            <a:ln w="3179">
              <a:solidFill>
                <a:srgbClr val="000000"/>
              </a:solidFill>
              <a:prstDash val="solid"/>
            </a:ln>
          </c:spPr>
        </c:majorGridlines>
        <c:numFmt formatCode="General" sourceLinked="1"/>
        <c:majorTickMark val="out"/>
        <c:minorTickMark val="none"/>
        <c:tickLblPos val="nextTo"/>
        <c:spPr>
          <a:ln w="3179">
            <a:solidFill>
              <a:srgbClr val="000000"/>
            </a:solidFill>
            <a:prstDash val="solid"/>
          </a:ln>
        </c:spPr>
        <c:txPr>
          <a:bodyPr rot="0" vert="horz"/>
          <a:lstStyle/>
          <a:p>
            <a:pPr>
              <a:defRPr sz="901" b="1" i="0" u="none" strike="noStrike" baseline="0">
                <a:solidFill>
                  <a:srgbClr val="000000"/>
                </a:solidFill>
                <a:latin typeface="Calibri"/>
                <a:ea typeface="Calibri"/>
                <a:cs typeface="Calibri"/>
              </a:defRPr>
            </a:pPr>
            <a:endParaRPr lang="sr-Latn-RS"/>
          </a:p>
        </c:txPr>
        <c:crossAx val="197757568"/>
        <c:crosses val="autoZero"/>
        <c:crossBetween val="between"/>
      </c:valAx>
      <c:spPr>
        <a:noFill/>
        <a:ln w="25432">
          <a:noFill/>
        </a:ln>
      </c:spPr>
    </c:plotArea>
    <c:legend>
      <c:legendPos val="r"/>
      <c:layout>
        <c:manualLayout>
          <c:xMode val="edge"/>
          <c:yMode val="edge"/>
          <c:x val="0.91512345679012363"/>
          <c:y val="0.27450980392156882"/>
          <c:w val="7.8703703703703734E-2"/>
          <c:h val="0.45490196078431422"/>
        </c:manualLayout>
      </c:layout>
      <c:overlay val="0"/>
      <c:spPr>
        <a:noFill/>
        <a:ln w="3179">
          <a:solidFill>
            <a:srgbClr val="000000"/>
          </a:solidFill>
          <a:prstDash val="solid"/>
        </a:ln>
      </c:spPr>
      <c:txPr>
        <a:bodyPr/>
        <a:lstStyle/>
        <a:p>
          <a:pPr>
            <a:defRPr sz="826"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901" b="1" i="0" u="none" strike="noStrike" baseline="0">
          <a:solidFill>
            <a:srgbClr val="000000"/>
          </a:solidFill>
          <a:latin typeface="Calibri"/>
          <a:ea typeface="Calibri"/>
          <a:cs typeface="Calibri"/>
        </a:defRPr>
      </a:pPr>
      <a:endParaRPr lang="sr-Latn-R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843683083511859"/>
          <c:y val="5.6701030927835294E-2"/>
          <c:w val="0.36616702355460468"/>
          <c:h val="0.88144329896907214"/>
        </c:manualLayout>
      </c:layout>
      <c:pieChart>
        <c:varyColors val="1"/>
        <c:ser>
          <c:idx val="0"/>
          <c:order val="0"/>
          <c:tx>
            <c:strRef>
              <c:f>Sheet1!$A$2</c:f>
              <c:strCache>
                <c:ptCount val="1"/>
                <c:pt idx="0">
                  <c:v>East</c:v>
                </c:pt>
              </c:strCache>
            </c:strRef>
          </c:tx>
          <c:spPr>
            <a:solidFill>
              <a:srgbClr val="9999FF"/>
            </a:solidFill>
            <a:ln w="12673">
              <a:solidFill>
                <a:srgbClr val="000000"/>
              </a:solidFill>
              <a:prstDash val="solid"/>
            </a:ln>
          </c:spPr>
          <c:dPt>
            <c:idx val="1"/>
            <c:bubble3D val="0"/>
            <c:spPr>
              <a:solidFill>
                <a:srgbClr val="993366"/>
              </a:solidFill>
              <a:ln w="12673">
                <a:solidFill>
                  <a:srgbClr val="000000"/>
                </a:solidFill>
                <a:prstDash val="solid"/>
              </a:ln>
            </c:spPr>
            <c:extLst xmlns:c16r2="http://schemas.microsoft.com/office/drawing/2015/06/chart">
              <c:ext xmlns:c16="http://schemas.microsoft.com/office/drawing/2014/chart" uri="{C3380CC4-5D6E-409C-BE32-E72D297353CC}">
                <c16:uniqueId val="{00000001-F75D-4834-9706-1E255E484904}"/>
              </c:ext>
            </c:extLst>
          </c:dPt>
          <c:dPt>
            <c:idx val="2"/>
            <c:bubble3D val="0"/>
            <c:spPr>
              <a:solidFill>
                <a:srgbClr val="FFFFCC"/>
              </a:solidFill>
              <a:ln w="12673">
                <a:solidFill>
                  <a:srgbClr val="000000"/>
                </a:solidFill>
                <a:prstDash val="solid"/>
              </a:ln>
            </c:spPr>
            <c:extLst xmlns:c16r2="http://schemas.microsoft.com/office/drawing/2015/06/chart">
              <c:ext xmlns:c16="http://schemas.microsoft.com/office/drawing/2014/chart" uri="{C3380CC4-5D6E-409C-BE32-E72D297353CC}">
                <c16:uniqueId val="{00000003-F75D-4834-9706-1E255E484904}"/>
              </c:ext>
            </c:extLst>
          </c:dPt>
          <c:dPt>
            <c:idx val="3"/>
            <c:bubble3D val="0"/>
            <c:spPr>
              <a:solidFill>
                <a:srgbClr val="CCFFFF"/>
              </a:solidFill>
              <a:ln w="12673">
                <a:solidFill>
                  <a:srgbClr val="000000"/>
                </a:solidFill>
                <a:prstDash val="solid"/>
              </a:ln>
            </c:spPr>
            <c:extLst xmlns:c16r2="http://schemas.microsoft.com/office/drawing/2015/06/chart">
              <c:ext xmlns:c16="http://schemas.microsoft.com/office/drawing/2014/chart" uri="{C3380CC4-5D6E-409C-BE32-E72D297353CC}">
                <c16:uniqueId val="{00000005-F75D-4834-9706-1E255E484904}"/>
              </c:ext>
            </c:extLst>
          </c:dPt>
          <c:dPt>
            <c:idx val="4"/>
            <c:bubble3D val="0"/>
            <c:spPr>
              <a:solidFill>
                <a:srgbClr val="660066"/>
              </a:solidFill>
              <a:ln w="12673">
                <a:solidFill>
                  <a:srgbClr val="000000"/>
                </a:solidFill>
                <a:prstDash val="solid"/>
              </a:ln>
            </c:spPr>
            <c:extLst xmlns:c16r2="http://schemas.microsoft.com/office/drawing/2015/06/chart">
              <c:ext xmlns:c16="http://schemas.microsoft.com/office/drawing/2014/chart" uri="{C3380CC4-5D6E-409C-BE32-E72D297353CC}">
                <c16:uniqueId val="{00000007-F75D-4834-9706-1E255E484904}"/>
              </c:ext>
            </c:extLst>
          </c:dPt>
          <c:dLbls>
            <c:numFmt formatCode="0%" sourceLinked="0"/>
            <c:spPr>
              <a:noFill/>
              <a:ln w="25346">
                <a:noFill/>
              </a:ln>
            </c:spPr>
            <c:txPr>
              <a:bodyPr/>
              <a:lstStyle/>
              <a:p>
                <a:pPr>
                  <a:defRPr lang="en-US" sz="998" b="1"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Sheet1!$B$1:$F$1</c:f>
              <c:strCache>
                <c:ptCount val="5"/>
                <c:pt idx="0">
                  <c:v>porezni prihodi</c:v>
                </c:pt>
                <c:pt idx="1">
                  <c:v>neporezni prihodi</c:v>
                </c:pt>
                <c:pt idx="2">
                  <c:v>grantovi i potpore</c:v>
                </c:pt>
                <c:pt idx="3">
                  <c:v>kapitalni primici</c:v>
                </c:pt>
                <c:pt idx="4">
                  <c:v>prenesena sredsstva</c:v>
                </c:pt>
              </c:strCache>
            </c:strRef>
          </c:cat>
          <c:val>
            <c:numRef>
              <c:f>Sheet1!$B$2:$F$2</c:f>
              <c:numCache>
                <c:formatCode>General</c:formatCode>
                <c:ptCount val="5"/>
                <c:pt idx="0">
                  <c:v>4243370</c:v>
                </c:pt>
                <c:pt idx="1">
                  <c:v>1183146</c:v>
                </c:pt>
                <c:pt idx="2">
                  <c:v>561016</c:v>
                </c:pt>
                <c:pt idx="3">
                  <c:v>1372062</c:v>
                </c:pt>
                <c:pt idx="4">
                  <c:v>1332315</c:v>
                </c:pt>
              </c:numCache>
            </c:numRef>
          </c:val>
          <c:extLst xmlns:c16r2="http://schemas.microsoft.com/office/drawing/2015/06/chart">
            <c:ext xmlns:c16="http://schemas.microsoft.com/office/drawing/2014/chart" uri="{C3380CC4-5D6E-409C-BE32-E72D297353CC}">
              <c16:uniqueId val="{00000008-F75D-4834-9706-1E255E484904}"/>
            </c:ext>
          </c:extLst>
        </c:ser>
        <c:ser>
          <c:idx val="1"/>
          <c:order val="1"/>
          <c:tx>
            <c:strRef>
              <c:f>Sheet1!$A$3</c:f>
              <c:strCache>
                <c:ptCount val="1"/>
                <c:pt idx="0">
                  <c:v>West</c:v>
                </c:pt>
              </c:strCache>
            </c:strRef>
          </c:tx>
          <c:spPr>
            <a:solidFill>
              <a:srgbClr val="993366"/>
            </a:solidFill>
            <a:ln w="12673">
              <a:solidFill>
                <a:srgbClr val="000000"/>
              </a:solidFill>
              <a:prstDash val="solid"/>
            </a:ln>
          </c:spPr>
          <c:dPt>
            <c:idx val="0"/>
            <c:bubble3D val="0"/>
            <c:spPr>
              <a:solidFill>
                <a:srgbClr val="9999FF"/>
              </a:solidFill>
              <a:ln w="12673">
                <a:solidFill>
                  <a:srgbClr val="000000"/>
                </a:solidFill>
                <a:prstDash val="solid"/>
              </a:ln>
            </c:spPr>
            <c:extLst xmlns:c16r2="http://schemas.microsoft.com/office/drawing/2015/06/chart">
              <c:ext xmlns:c16="http://schemas.microsoft.com/office/drawing/2014/chart" uri="{C3380CC4-5D6E-409C-BE32-E72D297353CC}">
                <c16:uniqueId val="{0000000A-F75D-4834-9706-1E255E484904}"/>
              </c:ext>
            </c:extLst>
          </c:dPt>
          <c:dPt>
            <c:idx val="2"/>
            <c:bubble3D val="0"/>
            <c:spPr>
              <a:solidFill>
                <a:srgbClr val="FFFFCC"/>
              </a:solidFill>
              <a:ln w="12673">
                <a:solidFill>
                  <a:srgbClr val="000000"/>
                </a:solidFill>
                <a:prstDash val="solid"/>
              </a:ln>
            </c:spPr>
            <c:extLst xmlns:c16r2="http://schemas.microsoft.com/office/drawing/2015/06/chart">
              <c:ext xmlns:c16="http://schemas.microsoft.com/office/drawing/2014/chart" uri="{C3380CC4-5D6E-409C-BE32-E72D297353CC}">
                <c16:uniqueId val="{0000000C-F75D-4834-9706-1E255E484904}"/>
              </c:ext>
            </c:extLst>
          </c:dPt>
          <c:dPt>
            <c:idx val="3"/>
            <c:bubble3D val="0"/>
            <c:spPr>
              <a:solidFill>
                <a:srgbClr val="CCFFFF"/>
              </a:solidFill>
              <a:ln w="12673">
                <a:solidFill>
                  <a:srgbClr val="000000"/>
                </a:solidFill>
                <a:prstDash val="solid"/>
              </a:ln>
            </c:spPr>
            <c:extLst xmlns:c16r2="http://schemas.microsoft.com/office/drawing/2015/06/chart">
              <c:ext xmlns:c16="http://schemas.microsoft.com/office/drawing/2014/chart" uri="{C3380CC4-5D6E-409C-BE32-E72D297353CC}">
                <c16:uniqueId val="{0000000E-F75D-4834-9706-1E255E484904}"/>
              </c:ext>
            </c:extLst>
          </c:dPt>
          <c:dPt>
            <c:idx val="4"/>
            <c:bubble3D val="0"/>
            <c:spPr>
              <a:solidFill>
                <a:srgbClr val="660066"/>
              </a:solidFill>
              <a:ln w="12673">
                <a:solidFill>
                  <a:srgbClr val="000000"/>
                </a:solidFill>
                <a:prstDash val="solid"/>
              </a:ln>
            </c:spPr>
            <c:extLst xmlns:c16r2="http://schemas.microsoft.com/office/drawing/2015/06/chart">
              <c:ext xmlns:c16="http://schemas.microsoft.com/office/drawing/2014/chart" uri="{C3380CC4-5D6E-409C-BE32-E72D297353CC}">
                <c16:uniqueId val="{00000010-F75D-4834-9706-1E255E484904}"/>
              </c:ext>
            </c:extLst>
          </c:dPt>
          <c:cat>
            <c:strRef>
              <c:f>Sheet1!$B$1:$F$1</c:f>
              <c:strCache>
                <c:ptCount val="5"/>
                <c:pt idx="0">
                  <c:v>porezni prihodi</c:v>
                </c:pt>
                <c:pt idx="1">
                  <c:v>neporezni prihodi</c:v>
                </c:pt>
                <c:pt idx="2">
                  <c:v>grantovi i potpore</c:v>
                </c:pt>
                <c:pt idx="3">
                  <c:v>kapitalni primici</c:v>
                </c:pt>
                <c:pt idx="4">
                  <c:v>prenesena sredsstva</c:v>
                </c:pt>
              </c:strCache>
            </c:strRef>
          </c:cat>
          <c:val>
            <c:numRef>
              <c:f>Sheet1!$B$3:$F$3</c:f>
              <c:numCache>
                <c:formatCode>General</c:formatCode>
                <c:ptCount val="5"/>
                <c:pt idx="0">
                  <c:v>30.6</c:v>
                </c:pt>
                <c:pt idx="1">
                  <c:v>38.6</c:v>
                </c:pt>
                <c:pt idx="2">
                  <c:v>34.6</c:v>
                </c:pt>
                <c:pt idx="3">
                  <c:v>31.6</c:v>
                </c:pt>
              </c:numCache>
            </c:numRef>
          </c:val>
          <c:extLst xmlns:c16r2="http://schemas.microsoft.com/office/drawing/2015/06/chart">
            <c:ext xmlns:c16="http://schemas.microsoft.com/office/drawing/2014/chart" uri="{C3380CC4-5D6E-409C-BE32-E72D297353CC}">
              <c16:uniqueId val="{00000011-F75D-4834-9706-1E255E484904}"/>
            </c:ext>
          </c:extLst>
        </c:ser>
        <c:ser>
          <c:idx val="2"/>
          <c:order val="2"/>
          <c:tx>
            <c:strRef>
              <c:f>Sheet1!$A$4</c:f>
              <c:strCache>
                <c:ptCount val="1"/>
                <c:pt idx="0">
                  <c:v>North</c:v>
                </c:pt>
              </c:strCache>
            </c:strRef>
          </c:tx>
          <c:spPr>
            <a:solidFill>
              <a:srgbClr val="FFFFCC"/>
            </a:solidFill>
            <a:ln w="12673">
              <a:solidFill>
                <a:srgbClr val="000000"/>
              </a:solidFill>
              <a:prstDash val="solid"/>
            </a:ln>
          </c:spPr>
          <c:dPt>
            <c:idx val="0"/>
            <c:bubble3D val="0"/>
            <c:spPr>
              <a:solidFill>
                <a:srgbClr val="9999FF"/>
              </a:solidFill>
              <a:ln w="12673">
                <a:solidFill>
                  <a:srgbClr val="000000"/>
                </a:solidFill>
                <a:prstDash val="solid"/>
              </a:ln>
            </c:spPr>
            <c:extLst xmlns:c16r2="http://schemas.microsoft.com/office/drawing/2015/06/chart">
              <c:ext xmlns:c16="http://schemas.microsoft.com/office/drawing/2014/chart" uri="{C3380CC4-5D6E-409C-BE32-E72D297353CC}">
                <c16:uniqueId val="{00000013-F75D-4834-9706-1E255E484904}"/>
              </c:ext>
            </c:extLst>
          </c:dPt>
          <c:dPt>
            <c:idx val="1"/>
            <c:bubble3D val="0"/>
            <c:spPr>
              <a:solidFill>
                <a:srgbClr val="993366"/>
              </a:solidFill>
              <a:ln w="12673">
                <a:solidFill>
                  <a:srgbClr val="000000"/>
                </a:solidFill>
                <a:prstDash val="solid"/>
              </a:ln>
            </c:spPr>
            <c:extLst xmlns:c16r2="http://schemas.microsoft.com/office/drawing/2015/06/chart">
              <c:ext xmlns:c16="http://schemas.microsoft.com/office/drawing/2014/chart" uri="{C3380CC4-5D6E-409C-BE32-E72D297353CC}">
                <c16:uniqueId val="{00000015-F75D-4834-9706-1E255E484904}"/>
              </c:ext>
            </c:extLst>
          </c:dPt>
          <c:dPt>
            <c:idx val="3"/>
            <c:bubble3D val="0"/>
            <c:spPr>
              <a:solidFill>
                <a:srgbClr val="CCFFFF"/>
              </a:solidFill>
              <a:ln w="12673">
                <a:solidFill>
                  <a:srgbClr val="000000"/>
                </a:solidFill>
                <a:prstDash val="solid"/>
              </a:ln>
            </c:spPr>
            <c:extLst xmlns:c16r2="http://schemas.microsoft.com/office/drawing/2015/06/chart">
              <c:ext xmlns:c16="http://schemas.microsoft.com/office/drawing/2014/chart" uri="{C3380CC4-5D6E-409C-BE32-E72D297353CC}">
                <c16:uniqueId val="{00000017-F75D-4834-9706-1E255E484904}"/>
              </c:ext>
            </c:extLst>
          </c:dPt>
          <c:dPt>
            <c:idx val="4"/>
            <c:bubble3D val="0"/>
            <c:spPr>
              <a:solidFill>
                <a:srgbClr val="660066"/>
              </a:solidFill>
              <a:ln w="12673">
                <a:solidFill>
                  <a:srgbClr val="000000"/>
                </a:solidFill>
                <a:prstDash val="solid"/>
              </a:ln>
            </c:spPr>
            <c:extLst xmlns:c16r2="http://schemas.microsoft.com/office/drawing/2015/06/chart">
              <c:ext xmlns:c16="http://schemas.microsoft.com/office/drawing/2014/chart" uri="{C3380CC4-5D6E-409C-BE32-E72D297353CC}">
                <c16:uniqueId val="{00000019-F75D-4834-9706-1E255E484904}"/>
              </c:ext>
            </c:extLst>
          </c:dPt>
          <c:cat>
            <c:strRef>
              <c:f>Sheet1!$B$1:$F$1</c:f>
              <c:strCache>
                <c:ptCount val="5"/>
                <c:pt idx="0">
                  <c:v>porezni prihodi</c:v>
                </c:pt>
                <c:pt idx="1">
                  <c:v>neporezni prihodi</c:v>
                </c:pt>
                <c:pt idx="2">
                  <c:v>grantovi i potpore</c:v>
                </c:pt>
                <c:pt idx="3">
                  <c:v>kapitalni primici</c:v>
                </c:pt>
                <c:pt idx="4">
                  <c:v>prenesena sredsstva</c:v>
                </c:pt>
              </c:strCache>
            </c:strRef>
          </c:cat>
          <c:val>
            <c:numRef>
              <c:f>Sheet1!$B$4:$F$4</c:f>
              <c:numCache>
                <c:formatCode>General</c:formatCode>
                <c:ptCount val="5"/>
                <c:pt idx="0">
                  <c:v>45.9</c:v>
                </c:pt>
                <c:pt idx="1">
                  <c:v>46.9</c:v>
                </c:pt>
                <c:pt idx="2">
                  <c:v>45</c:v>
                </c:pt>
                <c:pt idx="3">
                  <c:v>43.9</c:v>
                </c:pt>
              </c:numCache>
            </c:numRef>
          </c:val>
          <c:extLst xmlns:c16r2="http://schemas.microsoft.com/office/drawing/2015/06/chart">
            <c:ext xmlns:c16="http://schemas.microsoft.com/office/drawing/2014/chart" uri="{C3380CC4-5D6E-409C-BE32-E72D297353CC}">
              <c16:uniqueId val="{0000001A-F75D-4834-9706-1E255E484904}"/>
            </c:ext>
          </c:extLst>
        </c:ser>
        <c:dLbls>
          <c:showLegendKey val="0"/>
          <c:showVal val="0"/>
          <c:showCatName val="0"/>
          <c:showSerName val="0"/>
          <c:showPercent val="0"/>
          <c:showBubbleSize val="0"/>
          <c:showLeaderLines val="0"/>
        </c:dLbls>
        <c:firstSliceAng val="0"/>
      </c:pieChart>
      <c:spPr>
        <a:noFill/>
        <a:ln w="12673">
          <a:noFill/>
          <a:prstDash val="solid"/>
        </a:ln>
      </c:spPr>
    </c:plotArea>
    <c:legend>
      <c:legendPos val="r"/>
      <c:layout>
        <c:manualLayout>
          <c:xMode val="edge"/>
          <c:yMode val="edge"/>
          <c:x val="0.5873956209160055"/>
          <c:y val="0.16689115331171839"/>
          <c:w val="0.29313784737210308"/>
          <c:h val="0.6375993515516446"/>
        </c:manualLayout>
      </c:layout>
      <c:overlay val="0"/>
      <c:spPr>
        <a:noFill/>
        <a:ln w="3168">
          <a:noFill/>
          <a:prstDash val="solid"/>
        </a:ln>
      </c:spPr>
      <c:txPr>
        <a:bodyPr/>
        <a:lstStyle/>
        <a:p>
          <a:pPr>
            <a:defRPr lang="en-US" sz="778" b="1" i="0" u="none" strike="noStrike" baseline="0">
              <a:solidFill>
                <a:srgbClr val="000000"/>
              </a:solidFill>
              <a:latin typeface="Calibri"/>
              <a:ea typeface="Calibri"/>
              <a:cs typeface="Calibri"/>
            </a:defRPr>
          </a:pPr>
          <a:endParaRPr lang="sr-Latn-RS"/>
        </a:p>
      </c:txPr>
    </c:legend>
    <c:plotVisOnly val="1"/>
    <c:dispBlanksAs val="zero"/>
    <c:showDLblsOverMax val="0"/>
  </c:chart>
  <c:spPr>
    <a:noFill/>
    <a:ln>
      <a:solidFill>
        <a:schemeClr val="tx1">
          <a:lumMod val="65000"/>
          <a:lumOff val="35000"/>
        </a:schemeClr>
      </a:solidFill>
    </a:ln>
  </c:spPr>
  <c:txPr>
    <a:bodyPr/>
    <a:lstStyle/>
    <a:p>
      <a:pPr>
        <a:defRPr sz="848"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10101010101009"/>
          <c:y val="3.3149171270718231E-2"/>
          <c:w val="0.35555555555555557"/>
          <c:h val="0.97237569060773565"/>
        </c:manualLayout>
      </c:layout>
      <c:pieChart>
        <c:varyColors val="1"/>
        <c:ser>
          <c:idx val="0"/>
          <c:order val="0"/>
          <c:tx>
            <c:strRef>
              <c:f>Sheet1!$A$2</c:f>
              <c:strCache>
                <c:ptCount val="1"/>
                <c:pt idx="0">
                  <c:v>East</c:v>
                </c:pt>
              </c:strCache>
            </c:strRef>
          </c:tx>
          <c:spPr>
            <a:solidFill>
              <a:srgbClr val="9999FF"/>
            </a:solidFill>
            <a:ln w="12675">
              <a:solidFill>
                <a:srgbClr val="000000"/>
              </a:solidFill>
              <a:prstDash val="solid"/>
            </a:ln>
          </c:spPr>
          <c:dPt>
            <c:idx val="1"/>
            <c:bubble3D val="0"/>
            <c:spPr>
              <a:solidFill>
                <a:srgbClr val="993366"/>
              </a:solidFill>
              <a:ln w="12675">
                <a:solidFill>
                  <a:srgbClr val="000000"/>
                </a:solidFill>
                <a:prstDash val="solid"/>
              </a:ln>
            </c:spPr>
            <c:extLst xmlns:c16r2="http://schemas.microsoft.com/office/drawing/2015/06/chart">
              <c:ext xmlns:c16="http://schemas.microsoft.com/office/drawing/2014/chart" uri="{C3380CC4-5D6E-409C-BE32-E72D297353CC}">
                <c16:uniqueId val="{00000001-65A5-4640-A356-6F786B45499B}"/>
              </c:ext>
            </c:extLst>
          </c:dPt>
          <c:dPt>
            <c:idx val="2"/>
            <c:bubble3D val="0"/>
            <c:spPr>
              <a:solidFill>
                <a:srgbClr val="FFFFCC"/>
              </a:solidFill>
              <a:ln w="12675">
                <a:solidFill>
                  <a:srgbClr val="000000"/>
                </a:solidFill>
                <a:prstDash val="solid"/>
              </a:ln>
            </c:spPr>
            <c:extLst xmlns:c16r2="http://schemas.microsoft.com/office/drawing/2015/06/chart">
              <c:ext xmlns:c16="http://schemas.microsoft.com/office/drawing/2014/chart" uri="{C3380CC4-5D6E-409C-BE32-E72D297353CC}">
                <c16:uniqueId val="{00000003-65A5-4640-A356-6F786B45499B}"/>
              </c:ext>
            </c:extLst>
          </c:dPt>
          <c:dPt>
            <c:idx val="3"/>
            <c:bubble3D val="0"/>
            <c:spPr>
              <a:solidFill>
                <a:srgbClr val="CCFFFF"/>
              </a:solidFill>
              <a:ln w="12675">
                <a:solidFill>
                  <a:srgbClr val="000000"/>
                </a:solidFill>
                <a:prstDash val="solid"/>
              </a:ln>
            </c:spPr>
            <c:extLst xmlns:c16r2="http://schemas.microsoft.com/office/drawing/2015/06/chart">
              <c:ext xmlns:c16="http://schemas.microsoft.com/office/drawing/2014/chart" uri="{C3380CC4-5D6E-409C-BE32-E72D297353CC}">
                <c16:uniqueId val="{00000005-65A5-4640-A356-6F786B45499B}"/>
              </c:ext>
            </c:extLst>
          </c:dPt>
          <c:dPt>
            <c:idx val="4"/>
            <c:bubble3D val="0"/>
            <c:spPr>
              <a:solidFill>
                <a:srgbClr val="660066"/>
              </a:solidFill>
              <a:ln w="12675">
                <a:solidFill>
                  <a:srgbClr val="000000"/>
                </a:solidFill>
                <a:prstDash val="solid"/>
              </a:ln>
            </c:spPr>
            <c:extLst xmlns:c16r2="http://schemas.microsoft.com/office/drawing/2015/06/chart">
              <c:ext xmlns:c16="http://schemas.microsoft.com/office/drawing/2014/chart" uri="{C3380CC4-5D6E-409C-BE32-E72D297353CC}">
                <c16:uniqueId val="{00000007-65A5-4640-A356-6F786B45499B}"/>
              </c:ext>
            </c:extLst>
          </c:dPt>
          <c:dLbls>
            <c:numFmt formatCode="0%" sourceLinked="0"/>
            <c:spPr>
              <a:noFill/>
              <a:ln w="25349">
                <a:noFill/>
              </a:ln>
            </c:spPr>
            <c:txPr>
              <a:bodyPr/>
              <a:lstStyle/>
              <a:p>
                <a:pPr>
                  <a:defRPr lang="en-US" sz="973" b="1"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Sheet1!$B$1:$F$1</c:f>
              <c:strCache>
                <c:ptCount val="5"/>
                <c:pt idx="0">
                  <c:v>porezni prihodi</c:v>
                </c:pt>
                <c:pt idx="1">
                  <c:v>neporezni prihodi</c:v>
                </c:pt>
                <c:pt idx="2">
                  <c:v>grantovi i potpore</c:v>
                </c:pt>
                <c:pt idx="3">
                  <c:v>kapitalni primici</c:v>
                </c:pt>
                <c:pt idx="4">
                  <c:v>prenesena sredstva</c:v>
                </c:pt>
              </c:strCache>
            </c:strRef>
          </c:cat>
          <c:val>
            <c:numRef>
              <c:f>Sheet1!$B$2:$F$2</c:f>
              <c:numCache>
                <c:formatCode>General</c:formatCode>
                <c:ptCount val="5"/>
                <c:pt idx="0">
                  <c:v>4747745</c:v>
                </c:pt>
                <c:pt idx="1">
                  <c:v>1462881</c:v>
                </c:pt>
                <c:pt idx="2">
                  <c:v>286143</c:v>
                </c:pt>
                <c:pt idx="3">
                  <c:v>44826</c:v>
                </c:pt>
                <c:pt idx="4">
                  <c:v>1973623</c:v>
                </c:pt>
              </c:numCache>
            </c:numRef>
          </c:val>
          <c:extLst xmlns:c16r2="http://schemas.microsoft.com/office/drawing/2015/06/chart">
            <c:ext xmlns:c16="http://schemas.microsoft.com/office/drawing/2014/chart" uri="{C3380CC4-5D6E-409C-BE32-E72D297353CC}">
              <c16:uniqueId val="{00000008-65A5-4640-A356-6F786B45499B}"/>
            </c:ext>
          </c:extLst>
        </c:ser>
        <c:ser>
          <c:idx val="1"/>
          <c:order val="1"/>
          <c:tx>
            <c:strRef>
              <c:f>Sheet1!$A$3</c:f>
              <c:strCache>
                <c:ptCount val="1"/>
                <c:pt idx="0">
                  <c:v>West</c:v>
                </c:pt>
              </c:strCache>
            </c:strRef>
          </c:tx>
          <c:spPr>
            <a:solidFill>
              <a:srgbClr val="993366"/>
            </a:solidFill>
            <a:ln w="12675">
              <a:solidFill>
                <a:srgbClr val="000000"/>
              </a:solidFill>
              <a:prstDash val="solid"/>
            </a:ln>
          </c:spPr>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0A-65A5-4640-A356-6F786B45499B}"/>
              </c:ext>
            </c:extLst>
          </c:dPt>
          <c:dPt>
            <c:idx val="2"/>
            <c:bubble3D val="0"/>
            <c:spPr>
              <a:solidFill>
                <a:srgbClr val="FFFFCC"/>
              </a:solidFill>
              <a:ln w="12675">
                <a:solidFill>
                  <a:srgbClr val="000000"/>
                </a:solidFill>
                <a:prstDash val="solid"/>
              </a:ln>
            </c:spPr>
            <c:extLst xmlns:c16r2="http://schemas.microsoft.com/office/drawing/2015/06/chart">
              <c:ext xmlns:c16="http://schemas.microsoft.com/office/drawing/2014/chart" uri="{C3380CC4-5D6E-409C-BE32-E72D297353CC}">
                <c16:uniqueId val="{0000000C-65A5-4640-A356-6F786B45499B}"/>
              </c:ext>
            </c:extLst>
          </c:dPt>
          <c:dPt>
            <c:idx val="3"/>
            <c:bubble3D val="0"/>
            <c:spPr>
              <a:solidFill>
                <a:srgbClr val="CCFFFF"/>
              </a:solidFill>
              <a:ln w="12675">
                <a:solidFill>
                  <a:srgbClr val="000000"/>
                </a:solidFill>
                <a:prstDash val="solid"/>
              </a:ln>
            </c:spPr>
            <c:extLst xmlns:c16r2="http://schemas.microsoft.com/office/drawing/2015/06/chart">
              <c:ext xmlns:c16="http://schemas.microsoft.com/office/drawing/2014/chart" uri="{C3380CC4-5D6E-409C-BE32-E72D297353CC}">
                <c16:uniqueId val="{0000000E-65A5-4640-A356-6F786B45499B}"/>
              </c:ext>
            </c:extLst>
          </c:dPt>
          <c:dPt>
            <c:idx val="4"/>
            <c:bubble3D val="0"/>
            <c:spPr>
              <a:solidFill>
                <a:srgbClr val="660066"/>
              </a:solidFill>
              <a:ln w="12675">
                <a:solidFill>
                  <a:srgbClr val="000000"/>
                </a:solidFill>
                <a:prstDash val="solid"/>
              </a:ln>
            </c:spPr>
            <c:extLst xmlns:c16r2="http://schemas.microsoft.com/office/drawing/2015/06/chart">
              <c:ext xmlns:c16="http://schemas.microsoft.com/office/drawing/2014/chart" uri="{C3380CC4-5D6E-409C-BE32-E72D297353CC}">
                <c16:uniqueId val="{00000010-65A5-4640-A356-6F786B45499B}"/>
              </c:ext>
            </c:extLst>
          </c:dPt>
          <c:dLbls>
            <c:numFmt formatCode="0%" sourceLinked="0"/>
            <c:spPr>
              <a:noFill/>
              <a:ln w="25349">
                <a:noFill/>
              </a:ln>
            </c:spPr>
            <c:txPr>
              <a:bodyPr/>
              <a:lstStyle/>
              <a:p>
                <a:pPr>
                  <a:defRPr lang="en-US" sz="973" b="1"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Sheet1!$B$1:$F$1</c:f>
              <c:strCache>
                <c:ptCount val="5"/>
                <c:pt idx="0">
                  <c:v>porezni prihodi</c:v>
                </c:pt>
                <c:pt idx="1">
                  <c:v>neporezni prihodi</c:v>
                </c:pt>
                <c:pt idx="2">
                  <c:v>grantovi i potpore</c:v>
                </c:pt>
                <c:pt idx="3">
                  <c:v>kapitalni primici</c:v>
                </c:pt>
                <c:pt idx="4">
                  <c:v>prenesena sredstva</c:v>
                </c:pt>
              </c:strCache>
            </c:strRef>
          </c:cat>
          <c:val>
            <c:numRef>
              <c:f>Sheet1!$B$3:$F$3</c:f>
              <c:numCache>
                <c:formatCode>General</c:formatCode>
                <c:ptCount val="5"/>
                <c:pt idx="0">
                  <c:v>30.6</c:v>
                </c:pt>
                <c:pt idx="1">
                  <c:v>38.6</c:v>
                </c:pt>
                <c:pt idx="2">
                  <c:v>34.6</c:v>
                </c:pt>
                <c:pt idx="3">
                  <c:v>31.6</c:v>
                </c:pt>
              </c:numCache>
            </c:numRef>
          </c:val>
          <c:extLst xmlns:c16r2="http://schemas.microsoft.com/office/drawing/2015/06/chart">
            <c:ext xmlns:c16="http://schemas.microsoft.com/office/drawing/2014/chart" uri="{C3380CC4-5D6E-409C-BE32-E72D297353CC}">
              <c16:uniqueId val="{00000011-65A5-4640-A356-6F786B45499B}"/>
            </c:ext>
          </c:extLst>
        </c:ser>
        <c:ser>
          <c:idx val="2"/>
          <c:order val="2"/>
          <c:tx>
            <c:strRef>
              <c:f>Sheet1!$A$4</c:f>
              <c:strCache>
                <c:ptCount val="1"/>
                <c:pt idx="0">
                  <c:v>North</c:v>
                </c:pt>
              </c:strCache>
            </c:strRef>
          </c:tx>
          <c:spPr>
            <a:solidFill>
              <a:srgbClr val="FFFFCC"/>
            </a:solidFill>
            <a:ln w="12675">
              <a:solidFill>
                <a:srgbClr val="000000"/>
              </a:solidFill>
              <a:prstDash val="solid"/>
            </a:ln>
          </c:spPr>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13-65A5-4640-A356-6F786B45499B}"/>
              </c:ext>
            </c:extLst>
          </c:dPt>
          <c:dPt>
            <c:idx val="1"/>
            <c:bubble3D val="0"/>
            <c:spPr>
              <a:solidFill>
                <a:srgbClr val="993366"/>
              </a:solidFill>
              <a:ln w="12675">
                <a:solidFill>
                  <a:srgbClr val="000000"/>
                </a:solidFill>
                <a:prstDash val="solid"/>
              </a:ln>
            </c:spPr>
            <c:extLst xmlns:c16r2="http://schemas.microsoft.com/office/drawing/2015/06/chart">
              <c:ext xmlns:c16="http://schemas.microsoft.com/office/drawing/2014/chart" uri="{C3380CC4-5D6E-409C-BE32-E72D297353CC}">
                <c16:uniqueId val="{00000015-65A5-4640-A356-6F786B45499B}"/>
              </c:ext>
            </c:extLst>
          </c:dPt>
          <c:dPt>
            <c:idx val="3"/>
            <c:bubble3D val="0"/>
            <c:spPr>
              <a:solidFill>
                <a:srgbClr val="CCFFFF"/>
              </a:solidFill>
              <a:ln w="12675">
                <a:solidFill>
                  <a:srgbClr val="000000"/>
                </a:solidFill>
                <a:prstDash val="solid"/>
              </a:ln>
            </c:spPr>
            <c:extLst xmlns:c16r2="http://schemas.microsoft.com/office/drawing/2015/06/chart">
              <c:ext xmlns:c16="http://schemas.microsoft.com/office/drawing/2014/chart" uri="{C3380CC4-5D6E-409C-BE32-E72D297353CC}">
                <c16:uniqueId val="{00000017-65A5-4640-A356-6F786B45499B}"/>
              </c:ext>
            </c:extLst>
          </c:dPt>
          <c:dPt>
            <c:idx val="4"/>
            <c:bubble3D val="0"/>
            <c:spPr>
              <a:solidFill>
                <a:srgbClr val="660066"/>
              </a:solidFill>
              <a:ln w="12675">
                <a:solidFill>
                  <a:srgbClr val="000000"/>
                </a:solidFill>
                <a:prstDash val="solid"/>
              </a:ln>
            </c:spPr>
            <c:extLst xmlns:c16r2="http://schemas.microsoft.com/office/drawing/2015/06/chart">
              <c:ext xmlns:c16="http://schemas.microsoft.com/office/drawing/2014/chart" uri="{C3380CC4-5D6E-409C-BE32-E72D297353CC}">
                <c16:uniqueId val="{00000019-65A5-4640-A356-6F786B45499B}"/>
              </c:ext>
            </c:extLst>
          </c:dPt>
          <c:dLbls>
            <c:numFmt formatCode="0%" sourceLinked="0"/>
            <c:spPr>
              <a:noFill/>
              <a:ln w="25349">
                <a:noFill/>
              </a:ln>
            </c:spPr>
            <c:txPr>
              <a:bodyPr/>
              <a:lstStyle/>
              <a:p>
                <a:pPr>
                  <a:defRPr lang="en-US" sz="973" b="1"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Sheet1!$B$1:$F$1</c:f>
              <c:strCache>
                <c:ptCount val="5"/>
                <c:pt idx="0">
                  <c:v>porezni prihodi</c:v>
                </c:pt>
                <c:pt idx="1">
                  <c:v>neporezni prihodi</c:v>
                </c:pt>
                <c:pt idx="2">
                  <c:v>grantovi i potpore</c:v>
                </c:pt>
                <c:pt idx="3">
                  <c:v>kapitalni primici</c:v>
                </c:pt>
                <c:pt idx="4">
                  <c:v>prenesena sredstva</c:v>
                </c:pt>
              </c:strCache>
            </c:strRef>
          </c:cat>
          <c:val>
            <c:numRef>
              <c:f>Sheet1!$B$4:$F$4</c:f>
              <c:numCache>
                <c:formatCode>General</c:formatCode>
                <c:ptCount val="5"/>
                <c:pt idx="0">
                  <c:v>45.9</c:v>
                </c:pt>
                <c:pt idx="1">
                  <c:v>46.9</c:v>
                </c:pt>
                <c:pt idx="2">
                  <c:v>45</c:v>
                </c:pt>
                <c:pt idx="3">
                  <c:v>43.9</c:v>
                </c:pt>
              </c:numCache>
            </c:numRef>
          </c:val>
          <c:extLst xmlns:c16r2="http://schemas.microsoft.com/office/drawing/2015/06/chart">
            <c:ext xmlns:c16="http://schemas.microsoft.com/office/drawing/2014/chart" uri="{C3380CC4-5D6E-409C-BE32-E72D297353CC}">
              <c16:uniqueId val="{0000001A-65A5-4640-A356-6F786B45499B}"/>
            </c:ext>
          </c:extLst>
        </c:ser>
        <c:dLbls>
          <c:showLegendKey val="0"/>
          <c:showVal val="0"/>
          <c:showCatName val="0"/>
          <c:showSerName val="0"/>
          <c:showPercent val="1"/>
          <c:showBubbleSize val="0"/>
          <c:showLeaderLines val="1"/>
        </c:dLbls>
        <c:firstSliceAng val="0"/>
      </c:pieChart>
      <c:spPr>
        <a:noFill/>
        <a:ln w="12675">
          <a:noFill/>
          <a:prstDash val="solid"/>
        </a:ln>
      </c:spPr>
    </c:plotArea>
    <c:legend>
      <c:legendPos val="r"/>
      <c:layout>
        <c:manualLayout>
          <c:xMode val="edge"/>
          <c:yMode val="edge"/>
          <c:x val="0.60473417103696947"/>
          <c:y val="0.16611653543307089"/>
          <c:w val="0.2768826667065109"/>
          <c:h val="0.69821723870492758"/>
        </c:manualLayout>
      </c:layout>
      <c:overlay val="0"/>
      <c:spPr>
        <a:noFill/>
        <a:ln w="3169">
          <a:noFill/>
          <a:prstDash val="solid"/>
        </a:ln>
      </c:spPr>
      <c:txPr>
        <a:bodyPr/>
        <a:lstStyle/>
        <a:p>
          <a:pPr>
            <a:defRPr lang="en-US" sz="734" b="1" i="0" u="none" strike="noStrike" baseline="0">
              <a:solidFill>
                <a:srgbClr val="000000"/>
              </a:solidFill>
              <a:latin typeface="Calibri"/>
              <a:ea typeface="Calibri"/>
              <a:cs typeface="Calibri"/>
            </a:defRPr>
          </a:pPr>
          <a:endParaRPr lang="sr-Latn-RS"/>
        </a:p>
      </c:txPr>
    </c:legend>
    <c:plotVisOnly val="1"/>
    <c:dispBlanksAs val="zero"/>
    <c:showDLblsOverMax val="0"/>
  </c:chart>
  <c:spPr>
    <a:noFill/>
    <a:ln>
      <a:solidFill>
        <a:schemeClr val="tx1">
          <a:lumMod val="65000"/>
          <a:lumOff val="35000"/>
        </a:schemeClr>
      </a:solidFill>
    </a:ln>
  </c:spPr>
  <c:txPr>
    <a:bodyPr/>
    <a:lstStyle/>
    <a:p>
      <a:pPr>
        <a:defRPr sz="798"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pattFill prst="pct50">
          <a:fgClr>
            <a:srgbClr val="C0C0C0"/>
          </a:fgClr>
          <a:bgClr>
            <a:schemeClr val="bg1"/>
          </a:bgClr>
        </a:pattFill>
        <a:ln w="12700">
          <a:solidFill>
            <a:srgbClr val="808080"/>
          </a:solidFill>
          <a:prstDash val="solid"/>
        </a:ln>
      </c:spPr>
    </c:sideWall>
    <c:backWall>
      <c:thickness val="0"/>
      <c:spPr>
        <a:pattFill prst="pct50">
          <a:fgClr>
            <a:srgbClr val="C0C0C0"/>
          </a:fgClr>
          <a:bgClr>
            <a:schemeClr val="bg1"/>
          </a:bgClr>
        </a:pattFill>
        <a:ln w="12700">
          <a:solidFill>
            <a:srgbClr val="808080"/>
          </a:solidFill>
          <a:prstDash val="solid"/>
        </a:ln>
      </c:spPr>
    </c:backWall>
    <c:plotArea>
      <c:layout>
        <c:manualLayout>
          <c:layoutTarget val="inner"/>
          <c:xMode val="edge"/>
          <c:yMode val="edge"/>
          <c:x val="0.12236286919831205"/>
          <c:y val="8.98876404494382E-2"/>
          <c:w val="0.7573839662447257"/>
          <c:h val="0.71910112359550749"/>
        </c:manualLayout>
      </c:layout>
      <c:bar3DChart>
        <c:barDir val="col"/>
        <c:grouping val="clustered"/>
        <c:varyColors val="0"/>
        <c:ser>
          <c:idx val="0"/>
          <c:order val="0"/>
          <c:tx>
            <c:strRef>
              <c:f>Sheet1!$A$2</c:f>
              <c:strCache>
                <c:ptCount val="1"/>
                <c:pt idx="0">
                  <c:v>2012</c:v>
                </c:pt>
              </c:strCache>
            </c:strRef>
          </c:tx>
          <c:spPr>
            <a:solidFill>
              <a:srgbClr val="9999FF"/>
            </a:solidFill>
            <a:ln w="12674">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Sheet1!$B$2:$F$2</c:f>
              <c:numCache>
                <c:formatCode>General</c:formatCode>
                <c:ptCount val="5"/>
                <c:pt idx="0">
                  <c:v>7925768</c:v>
                </c:pt>
                <c:pt idx="1">
                  <c:v>5163284</c:v>
                </c:pt>
                <c:pt idx="2">
                  <c:v>6726631</c:v>
                </c:pt>
                <c:pt idx="3">
                  <c:v>5394445</c:v>
                </c:pt>
                <c:pt idx="4">
                  <c:v>6481951</c:v>
                </c:pt>
              </c:numCache>
            </c:numRef>
          </c:val>
          <c:extLst xmlns:c16r2="http://schemas.microsoft.com/office/drawing/2015/06/chart">
            <c:ext xmlns:c16="http://schemas.microsoft.com/office/drawing/2014/chart" uri="{C3380CC4-5D6E-409C-BE32-E72D297353CC}">
              <c16:uniqueId val="{00000000-2DD6-4A71-8A07-E5485459A095}"/>
            </c:ext>
          </c:extLst>
        </c:ser>
        <c:ser>
          <c:idx val="1"/>
          <c:order val="1"/>
          <c:tx>
            <c:strRef>
              <c:f>Sheet1!$A$3</c:f>
              <c:strCache>
                <c:ptCount val="1"/>
                <c:pt idx="0">
                  <c:v>2013</c:v>
                </c:pt>
              </c:strCache>
            </c:strRef>
          </c:tx>
          <c:spPr>
            <a:solidFill>
              <a:srgbClr val="993366"/>
            </a:solidFill>
            <a:ln w="12674">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Sheet1!$B$3:$F$3</c:f>
              <c:numCache>
                <c:formatCode>General</c:formatCode>
                <c:ptCount val="5"/>
                <c:pt idx="0">
                  <c:v>30.6</c:v>
                </c:pt>
                <c:pt idx="1">
                  <c:v>38.6</c:v>
                </c:pt>
                <c:pt idx="2">
                  <c:v>34.6</c:v>
                </c:pt>
                <c:pt idx="3">
                  <c:v>31.6</c:v>
                </c:pt>
              </c:numCache>
            </c:numRef>
          </c:val>
          <c:extLst xmlns:c16r2="http://schemas.microsoft.com/office/drawing/2015/06/chart">
            <c:ext xmlns:c16="http://schemas.microsoft.com/office/drawing/2014/chart" uri="{C3380CC4-5D6E-409C-BE32-E72D297353CC}">
              <c16:uniqueId val="{00000001-2DD6-4A71-8A07-E5485459A095}"/>
            </c:ext>
          </c:extLst>
        </c:ser>
        <c:ser>
          <c:idx val="2"/>
          <c:order val="2"/>
          <c:tx>
            <c:strRef>
              <c:f>Sheet1!$A$4</c:f>
              <c:strCache>
                <c:ptCount val="1"/>
                <c:pt idx="0">
                  <c:v>2014</c:v>
                </c:pt>
              </c:strCache>
            </c:strRef>
          </c:tx>
          <c:spPr>
            <a:solidFill>
              <a:srgbClr val="FFFFCC"/>
            </a:solidFill>
            <a:ln w="12674">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Sheet1!$B$4:$F$4</c:f>
              <c:numCache>
                <c:formatCode>General</c:formatCode>
                <c:ptCount val="5"/>
                <c:pt idx="0">
                  <c:v>45.9</c:v>
                </c:pt>
                <c:pt idx="1">
                  <c:v>46.9</c:v>
                </c:pt>
                <c:pt idx="2">
                  <c:v>45</c:v>
                </c:pt>
                <c:pt idx="3">
                  <c:v>43.9</c:v>
                </c:pt>
              </c:numCache>
            </c:numRef>
          </c:val>
          <c:extLst xmlns:c16r2="http://schemas.microsoft.com/office/drawing/2015/06/chart">
            <c:ext xmlns:c16="http://schemas.microsoft.com/office/drawing/2014/chart" uri="{C3380CC4-5D6E-409C-BE32-E72D297353CC}">
              <c16:uniqueId val="{00000002-2DD6-4A71-8A07-E5485459A095}"/>
            </c:ext>
          </c:extLst>
        </c:ser>
        <c:ser>
          <c:idx val="3"/>
          <c:order val="3"/>
          <c:tx>
            <c:strRef>
              <c:f>Sheet1!$A$5</c:f>
              <c:strCache>
                <c:ptCount val="1"/>
                <c:pt idx="0">
                  <c:v>2015</c:v>
                </c:pt>
              </c:strCache>
            </c:strRef>
          </c:tx>
          <c:spPr>
            <a:solidFill>
              <a:srgbClr val="CCFFFF"/>
            </a:solidFill>
            <a:ln w="12674">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Sheet1!$B$5:$F$5</c:f>
              <c:numCache>
                <c:formatCode>General</c:formatCode>
                <c:ptCount val="5"/>
              </c:numCache>
            </c:numRef>
          </c:val>
          <c:extLst xmlns:c16r2="http://schemas.microsoft.com/office/drawing/2015/06/chart">
            <c:ext xmlns:c16="http://schemas.microsoft.com/office/drawing/2014/chart" uri="{C3380CC4-5D6E-409C-BE32-E72D297353CC}">
              <c16:uniqueId val="{00000003-2DD6-4A71-8A07-E5485459A095}"/>
            </c:ext>
          </c:extLst>
        </c:ser>
        <c:ser>
          <c:idx val="4"/>
          <c:order val="4"/>
          <c:tx>
            <c:strRef>
              <c:f>Sheet1!$A$6</c:f>
              <c:strCache>
                <c:ptCount val="1"/>
                <c:pt idx="0">
                  <c:v>2016</c:v>
                </c:pt>
              </c:strCache>
            </c:strRef>
          </c:tx>
          <c:spPr>
            <a:solidFill>
              <a:srgbClr val="660066"/>
            </a:solidFill>
            <a:ln w="12674">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Sheet1!$B$6:$F$6</c:f>
              <c:numCache>
                <c:formatCode>General</c:formatCode>
                <c:ptCount val="5"/>
              </c:numCache>
            </c:numRef>
          </c:val>
          <c:extLst xmlns:c16r2="http://schemas.microsoft.com/office/drawing/2015/06/chart">
            <c:ext xmlns:c16="http://schemas.microsoft.com/office/drawing/2014/chart" uri="{C3380CC4-5D6E-409C-BE32-E72D297353CC}">
              <c16:uniqueId val="{00000004-2DD6-4A71-8A07-E5485459A095}"/>
            </c:ext>
          </c:extLst>
        </c:ser>
        <c:dLbls>
          <c:showLegendKey val="0"/>
          <c:showVal val="0"/>
          <c:showCatName val="0"/>
          <c:showSerName val="0"/>
          <c:showPercent val="0"/>
          <c:showBubbleSize val="0"/>
        </c:dLbls>
        <c:gapWidth val="150"/>
        <c:gapDepth val="0"/>
        <c:shape val="box"/>
        <c:axId val="205382016"/>
        <c:axId val="205383552"/>
        <c:axId val="0"/>
      </c:bar3DChart>
      <c:catAx>
        <c:axId val="205382016"/>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lang="en-US" sz="798" b="1" i="0" u="none" strike="noStrike" baseline="0">
                <a:solidFill>
                  <a:srgbClr val="000000"/>
                </a:solidFill>
                <a:latin typeface="Calibri"/>
                <a:ea typeface="Calibri"/>
                <a:cs typeface="Calibri"/>
              </a:defRPr>
            </a:pPr>
            <a:endParaRPr lang="sr-Latn-RS"/>
          </a:p>
        </c:txPr>
        <c:crossAx val="205383552"/>
        <c:crosses val="autoZero"/>
        <c:auto val="1"/>
        <c:lblAlgn val="ctr"/>
        <c:lblOffset val="100"/>
        <c:tickLblSkip val="1"/>
        <c:tickMarkSkip val="1"/>
        <c:noMultiLvlLbl val="0"/>
      </c:catAx>
      <c:valAx>
        <c:axId val="205383552"/>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lang="en-US" sz="798" b="1" i="0" u="none" strike="noStrike" baseline="0">
                <a:solidFill>
                  <a:srgbClr val="000000"/>
                </a:solidFill>
                <a:latin typeface="Calibri"/>
                <a:ea typeface="Calibri"/>
                <a:cs typeface="Calibri"/>
              </a:defRPr>
            </a:pPr>
            <a:endParaRPr lang="sr-Latn-RS"/>
          </a:p>
        </c:txPr>
        <c:crossAx val="205382016"/>
        <c:crosses val="autoZero"/>
        <c:crossBetween val="between"/>
      </c:valAx>
      <c:spPr>
        <a:noFill/>
        <a:ln w="25348">
          <a:noFill/>
        </a:ln>
      </c:spPr>
    </c:plotArea>
    <c:legend>
      <c:legendPos val="r"/>
      <c:layout>
        <c:manualLayout>
          <c:xMode val="edge"/>
          <c:yMode val="edge"/>
          <c:x val="0.85977892763404795"/>
          <c:y val="0.12545005403736345"/>
          <c:w val="0.11654403199600052"/>
          <c:h val="0.67449204249142791"/>
        </c:manualLayout>
      </c:layout>
      <c:overlay val="0"/>
      <c:spPr>
        <a:noFill/>
        <a:ln w="3168">
          <a:noFill/>
          <a:prstDash val="solid"/>
        </a:ln>
      </c:spPr>
      <c:txPr>
        <a:bodyPr/>
        <a:lstStyle/>
        <a:p>
          <a:pPr>
            <a:defRPr lang="en-US" sz="733"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solidFill>
        <a:schemeClr val="tx1">
          <a:lumMod val="50000"/>
          <a:lumOff val="50000"/>
        </a:schemeClr>
      </a:solidFill>
    </a:ln>
  </c:spPr>
  <c:txPr>
    <a:bodyPr/>
    <a:lstStyle/>
    <a:p>
      <a:pPr>
        <a:defRPr sz="798"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42793791574294"/>
          <c:y val="3.6962313673055122E-2"/>
          <c:w val="0.38644367288734716"/>
          <c:h val="0.92600653691873425"/>
        </c:manualLayout>
      </c:layout>
      <c:pieChart>
        <c:varyColors val="1"/>
        <c:ser>
          <c:idx val="0"/>
          <c:order val="0"/>
          <c:tx>
            <c:strRef>
              <c:f>Sheet1!$A$2</c:f>
              <c:strCache>
                <c:ptCount val="1"/>
                <c:pt idx="0">
                  <c:v>East</c:v>
                </c:pt>
              </c:strCache>
            </c:strRef>
          </c:tx>
          <c:spPr>
            <a:solidFill>
              <a:srgbClr val="9999FF"/>
            </a:solidFill>
            <a:ln w="12672">
              <a:solidFill>
                <a:srgbClr val="000000"/>
              </a:solidFill>
              <a:prstDash val="solid"/>
            </a:ln>
          </c:spPr>
          <c:explosion val="25"/>
          <c:dPt>
            <c:idx val="1"/>
            <c:bubble3D val="0"/>
            <c:spPr>
              <a:solidFill>
                <a:srgbClr val="993366"/>
              </a:solidFill>
              <a:ln w="12672">
                <a:solidFill>
                  <a:srgbClr val="000000"/>
                </a:solidFill>
                <a:prstDash val="solid"/>
              </a:ln>
            </c:spPr>
            <c:extLst xmlns:c16r2="http://schemas.microsoft.com/office/drawing/2015/06/chart">
              <c:ext xmlns:c16="http://schemas.microsoft.com/office/drawing/2014/chart" uri="{C3380CC4-5D6E-409C-BE32-E72D297353CC}">
                <c16:uniqueId val="{00000001-DCE3-4025-8174-DE906D089B1E}"/>
              </c:ext>
            </c:extLst>
          </c:dPt>
          <c:dPt>
            <c:idx val="2"/>
            <c:bubble3D val="0"/>
            <c:spPr>
              <a:solidFill>
                <a:srgbClr val="FFFFCC"/>
              </a:solidFill>
              <a:ln w="12672">
                <a:solidFill>
                  <a:srgbClr val="000000"/>
                </a:solidFill>
                <a:prstDash val="solid"/>
              </a:ln>
            </c:spPr>
            <c:extLst xmlns:c16r2="http://schemas.microsoft.com/office/drawing/2015/06/chart">
              <c:ext xmlns:c16="http://schemas.microsoft.com/office/drawing/2014/chart" uri="{C3380CC4-5D6E-409C-BE32-E72D297353CC}">
                <c16:uniqueId val="{00000003-DCE3-4025-8174-DE906D089B1E}"/>
              </c:ext>
            </c:extLst>
          </c:dPt>
          <c:dPt>
            <c:idx val="3"/>
            <c:bubble3D val="0"/>
            <c:spPr>
              <a:solidFill>
                <a:srgbClr val="CCFFFF"/>
              </a:solidFill>
              <a:ln w="12672">
                <a:solidFill>
                  <a:srgbClr val="000000"/>
                </a:solidFill>
                <a:prstDash val="solid"/>
              </a:ln>
            </c:spPr>
            <c:extLst xmlns:c16r2="http://schemas.microsoft.com/office/drawing/2015/06/chart">
              <c:ext xmlns:c16="http://schemas.microsoft.com/office/drawing/2014/chart" uri="{C3380CC4-5D6E-409C-BE32-E72D297353CC}">
                <c16:uniqueId val="{00000005-DCE3-4025-8174-DE906D089B1E}"/>
              </c:ext>
            </c:extLst>
          </c:dPt>
          <c:dPt>
            <c:idx val="4"/>
            <c:bubble3D val="0"/>
            <c:spPr>
              <a:solidFill>
                <a:srgbClr val="660066"/>
              </a:solidFill>
              <a:ln w="12672">
                <a:solidFill>
                  <a:srgbClr val="000000"/>
                </a:solidFill>
                <a:prstDash val="solid"/>
              </a:ln>
            </c:spPr>
            <c:extLst xmlns:c16r2="http://schemas.microsoft.com/office/drawing/2015/06/chart">
              <c:ext xmlns:c16="http://schemas.microsoft.com/office/drawing/2014/chart" uri="{C3380CC4-5D6E-409C-BE32-E72D297353CC}">
                <c16:uniqueId val="{00000007-DCE3-4025-8174-DE906D089B1E}"/>
              </c:ext>
            </c:extLst>
          </c:dPt>
          <c:dLbls>
            <c:numFmt formatCode="0%" sourceLinked="0"/>
            <c:spPr>
              <a:noFill/>
              <a:ln w="25345">
                <a:noFill/>
              </a:ln>
            </c:spPr>
            <c:txPr>
              <a:bodyPr/>
              <a:lstStyle/>
              <a:p>
                <a:pPr>
                  <a:defRPr lang="en-US" sz="1197" b="1"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Sheet1!$B$1:$F$1</c:f>
              <c:strCache>
                <c:ptCount val="5"/>
                <c:pt idx="0">
                  <c:v>Plaće i naknade</c:v>
                </c:pt>
                <c:pt idx="1">
                  <c:v>materijal i usluge</c:v>
                </c:pt>
                <c:pt idx="2">
                  <c:v>tekući trasferi</c:v>
                </c:pt>
                <c:pt idx="3">
                  <c:v>kapitalni transferi</c:v>
                </c:pt>
                <c:pt idx="4">
                  <c:v>kapitalni transferi</c:v>
                </c:pt>
              </c:strCache>
            </c:strRef>
          </c:cat>
          <c:val>
            <c:numRef>
              <c:f>Sheet1!$B$2:$F$2</c:f>
              <c:numCache>
                <c:formatCode>General</c:formatCode>
                <c:ptCount val="5"/>
                <c:pt idx="0">
                  <c:v>2011513</c:v>
                </c:pt>
                <c:pt idx="1">
                  <c:v>1361877</c:v>
                </c:pt>
                <c:pt idx="2">
                  <c:v>1350778</c:v>
                </c:pt>
                <c:pt idx="3">
                  <c:v>1775889</c:v>
                </c:pt>
                <c:pt idx="4">
                  <c:v>1425711</c:v>
                </c:pt>
              </c:numCache>
            </c:numRef>
          </c:val>
          <c:extLst xmlns:c16r2="http://schemas.microsoft.com/office/drawing/2015/06/chart">
            <c:ext xmlns:c16="http://schemas.microsoft.com/office/drawing/2014/chart" uri="{C3380CC4-5D6E-409C-BE32-E72D297353CC}">
              <c16:uniqueId val="{00000008-DCE3-4025-8174-DE906D089B1E}"/>
            </c:ext>
          </c:extLst>
        </c:ser>
        <c:ser>
          <c:idx val="1"/>
          <c:order val="1"/>
          <c:tx>
            <c:strRef>
              <c:f>Sheet1!$A$3</c:f>
              <c:strCache>
                <c:ptCount val="1"/>
                <c:pt idx="0">
                  <c:v>West</c:v>
                </c:pt>
              </c:strCache>
            </c:strRef>
          </c:tx>
          <c:spPr>
            <a:solidFill>
              <a:srgbClr val="993366"/>
            </a:solidFill>
            <a:ln w="12672">
              <a:solidFill>
                <a:srgbClr val="000000"/>
              </a:solidFill>
              <a:prstDash val="solid"/>
            </a:ln>
          </c:spPr>
          <c:explosion val="25"/>
          <c:dPt>
            <c:idx val="0"/>
            <c:bubble3D val="0"/>
            <c:spPr>
              <a:solidFill>
                <a:srgbClr val="9999FF"/>
              </a:solidFill>
              <a:ln w="12672">
                <a:solidFill>
                  <a:srgbClr val="000000"/>
                </a:solidFill>
                <a:prstDash val="solid"/>
              </a:ln>
            </c:spPr>
            <c:extLst xmlns:c16r2="http://schemas.microsoft.com/office/drawing/2015/06/chart">
              <c:ext xmlns:c16="http://schemas.microsoft.com/office/drawing/2014/chart" uri="{C3380CC4-5D6E-409C-BE32-E72D297353CC}">
                <c16:uniqueId val="{0000000A-DCE3-4025-8174-DE906D089B1E}"/>
              </c:ext>
            </c:extLst>
          </c:dPt>
          <c:dPt>
            <c:idx val="2"/>
            <c:bubble3D val="0"/>
            <c:spPr>
              <a:solidFill>
                <a:srgbClr val="FFFFCC"/>
              </a:solidFill>
              <a:ln w="12672">
                <a:solidFill>
                  <a:srgbClr val="000000"/>
                </a:solidFill>
                <a:prstDash val="solid"/>
              </a:ln>
            </c:spPr>
            <c:extLst xmlns:c16r2="http://schemas.microsoft.com/office/drawing/2015/06/chart">
              <c:ext xmlns:c16="http://schemas.microsoft.com/office/drawing/2014/chart" uri="{C3380CC4-5D6E-409C-BE32-E72D297353CC}">
                <c16:uniqueId val="{0000000C-DCE3-4025-8174-DE906D089B1E}"/>
              </c:ext>
            </c:extLst>
          </c:dPt>
          <c:dPt>
            <c:idx val="3"/>
            <c:bubble3D val="0"/>
            <c:spPr>
              <a:solidFill>
                <a:srgbClr val="CCFFFF"/>
              </a:solidFill>
              <a:ln w="12672">
                <a:solidFill>
                  <a:srgbClr val="000000"/>
                </a:solidFill>
                <a:prstDash val="solid"/>
              </a:ln>
            </c:spPr>
            <c:extLst xmlns:c16r2="http://schemas.microsoft.com/office/drawing/2015/06/chart">
              <c:ext xmlns:c16="http://schemas.microsoft.com/office/drawing/2014/chart" uri="{C3380CC4-5D6E-409C-BE32-E72D297353CC}">
                <c16:uniqueId val="{0000000E-DCE3-4025-8174-DE906D089B1E}"/>
              </c:ext>
            </c:extLst>
          </c:dPt>
          <c:dPt>
            <c:idx val="4"/>
            <c:bubble3D val="0"/>
            <c:spPr>
              <a:solidFill>
                <a:srgbClr val="660066"/>
              </a:solidFill>
              <a:ln w="12672">
                <a:solidFill>
                  <a:srgbClr val="000000"/>
                </a:solidFill>
                <a:prstDash val="solid"/>
              </a:ln>
            </c:spPr>
            <c:extLst xmlns:c16r2="http://schemas.microsoft.com/office/drawing/2015/06/chart">
              <c:ext xmlns:c16="http://schemas.microsoft.com/office/drawing/2014/chart" uri="{C3380CC4-5D6E-409C-BE32-E72D297353CC}">
                <c16:uniqueId val="{00000010-DCE3-4025-8174-DE906D089B1E}"/>
              </c:ext>
            </c:extLst>
          </c:dPt>
          <c:dLbls>
            <c:numFmt formatCode="0%" sourceLinked="0"/>
            <c:spPr>
              <a:noFill/>
              <a:ln w="25345">
                <a:noFill/>
              </a:ln>
            </c:spPr>
            <c:txPr>
              <a:bodyPr/>
              <a:lstStyle/>
              <a:p>
                <a:pPr>
                  <a:defRPr lang="en-US" sz="1197" b="1"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Sheet1!$B$1:$F$1</c:f>
              <c:strCache>
                <c:ptCount val="5"/>
                <c:pt idx="0">
                  <c:v>Plaće i naknade</c:v>
                </c:pt>
                <c:pt idx="1">
                  <c:v>materijal i usluge</c:v>
                </c:pt>
                <c:pt idx="2">
                  <c:v>tekući trasferi</c:v>
                </c:pt>
                <c:pt idx="3">
                  <c:v>kapitalni transferi</c:v>
                </c:pt>
                <c:pt idx="4">
                  <c:v>kapitalni transferi</c:v>
                </c:pt>
              </c:strCache>
            </c:strRef>
          </c:cat>
          <c:val>
            <c:numRef>
              <c:f>Sheet1!$B$3:$F$3</c:f>
              <c:numCache>
                <c:formatCode>General</c:formatCode>
                <c:ptCount val="5"/>
                <c:pt idx="0">
                  <c:v>30.6</c:v>
                </c:pt>
                <c:pt idx="1">
                  <c:v>38.6</c:v>
                </c:pt>
                <c:pt idx="2">
                  <c:v>34.6</c:v>
                </c:pt>
                <c:pt idx="3">
                  <c:v>31.6</c:v>
                </c:pt>
              </c:numCache>
            </c:numRef>
          </c:val>
          <c:extLst xmlns:c16r2="http://schemas.microsoft.com/office/drawing/2015/06/chart">
            <c:ext xmlns:c16="http://schemas.microsoft.com/office/drawing/2014/chart" uri="{C3380CC4-5D6E-409C-BE32-E72D297353CC}">
              <c16:uniqueId val="{00000011-DCE3-4025-8174-DE906D089B1E}"/>
            </c:ext>
          </c:extLst>
        </c:ser>
        <c:ser>
          <c:idx val="2"/>
          <c:order val="2"/>
          <c:tx>
            <c:strRef>
              <c:f>Sheet1!$A$4</c:f>
              <c:strCache>
                <c:ptCount val="1"/>
                <c:pt idx="0">
                  <c:v>North</c:v>
                </c:pt>
              </c:strCache>
            </c:strRef>
          </c:tx>
          <c:spPr>
            <a:solidFill>
              <a:srgbClr val="FFFFCC"/>
            </a:solidFill>
            <a:ln w="12672">
              <a:solidFill>
                <a:srgbClr val="000000"/>
              </a:solidFill>
              <a:prstDash val="solid"/>
            </a:ln>
          </c:spPr>
          <c:explosion val="25"/>
          <c:dPt>
            <c:idx val="0"/>
            <c:bubble3D val="0"/>
            <c:spPr>
              <a:solidFill>
                <a:srgbClr val="9999FF"/>
              </a:solidFill>
              <a:ln w="12672">
                <a:solidFill>
                  <a:srgbClr val="000000"/>
                </a:solidFill>
                <a:prstDash val="solid"/>
              </a:ln>
            </c:spPr>
            <c:extLst xmlns:c16r2="http://schemas.microsoft.com/office/drawing/2015/06/chart">
              <c:ext xmlns:c16="http://schemas.microsoft.com/office/drawing/2014/chart" uri="{C3380CC4-5D6E-409C-BE32-E72D297353CC}">
                <c16:uniqueId val="{00000013-DCE3-4025-8174-DE906D089B1E}"/>
              </c:ext>
            </c:extLst>
          </c:dPt>
          <c:dPt>
            <c:idx val="1"/>
            <c:bubble3D val="0"/>
            <c:spPr>
              <a:solidFill>
                <a:srgbClr val="993366"/>
              </a:solidFill>
              <a:ln w="12672">
                <a:solidFill>
                  <a:srgbClr val="000000"/>
                </a:solidFill>
                <a:prstDash val="solid"/>
              </a:ln>
            </c:spPr>
            <c:extLst xmlns:c16r2="http://schemas.microsoft.com/office/drawing/2015/06/chart">
              <c:ext xmlns:c16="http://schemas.microsoft.com/office/drawing/2014/chart" uri="{C3380CC4-5D6E-409C-BE32-E72D297353CC}">
                <c16:uniqueId val="{00000015-DCE3-4025-8174-DE906D089B1E}"/>
              </c:ext>
            </c:extLst>
          </c:dPt>
          <c:dPt>
            <c:idx val="3"/>
            <c:bubble3D val="0"/>
            <c:spPr>
              <a:solidFill>
                <a:srgbClr val="CCFFFF"/>
              </a:solidFill>
              <a:ln w="12672">
                <a:solidFill>
                  <a:srgbClr val="000000"/>
                </a:solidFill>
                <a:prstDash val="solid"/>
              </a:ln>
            </c:spPr>
            <c:extLst xmlns:c16r2="http://schemas.microsoft.com/office/drawing/2015/06/chart">
              <c:ext xmlns:c16="http://schemas.microsoft.com/office/drawing/2014/chart" uri="{C3380CC4-5D6E-409C-BE32-E72D297353CC}">
                <c16:uniqueId val="{00000017-DCE3-4025-8174-DE906D089B1E}"/>
              </c:ext>
            </c:extLst>
          </c:dPt>
          <c:dPt>
            <c:idx val="4"/>
            <c:bubble3D val="0"/>
            <c:spPr>
              <a:solidFill>
                <a:srgbClr val="660066"/>
              </a:solidFill>
              <a:ln w="12672">
                <a:solidFill>
                  <a:srgbClr val="000000"/>
                </a:solidFill>
                <a:prstDash val="solid"/>
              </a:ln>
            </c:spPr>
            <c:extLst xmlns:c16r2="http://schemas.microsoft.com/office/drawing/2015/06/chart">
              <c:ext xmlns:c16="http://schemas.microsoft.com/office/drawing/2014/chart" uri="{C3380CC4-5D6E-409C-BE32-E72D297353CC}">
                <c16:uniqueId val="{00000019-DCE3-4025-8174-DE906D089B1E}"/>
              </c:ext>
            </c:extLst>
          </c:dPt>
          <c:dLbls>
            <c:numFmt formatCode="0%" sourceLinked="0"/>
            <c:spPr>
              <a:noFill/>
              <a:ln w="25345">
                <a:noFill/>
              </a:ln>
            </c:spPr>
            <c:txPr>
              <a:bodyPr/>
              <a:lstStyle/>
              <a:p>
                <a:pPr>
                  <a:defRPr lang="en-US" sz="1197" b="1"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Sheet1!$B$1:$F$1</c:f>
              <c:strCache>
                <c:ptCount val="5"/>
                <c:pt idx="0">
                  <c:v>Plaće i naknade</c:v>
                </c:pt>
                <c:pt idx="1">
                  <c:v>materijal i usluge</c:v>
                </c:pt>
                <c:pt idx="2">
                  <c:v>tekući trasferi</c:v>
                </c:pt>
                <c:pt idx="3">
                  <c:v>kapitalni transferi</c:v>
                </c:pt>
                <c:pt idx="4">
                  <c:v>kapitalni transferi</c:v>
                </c:pt>
              </c:strCache>
            </c:strRef>
          </c:cat>
          <c:val>
            <c:numRef>
              <c:f>Sheet1!$B$4:$F$4</c:f>
              <c:numCache>
                <c:formatCode>General</c:formatCode>
                <c:ptCount val="5"/>
                <c:pt idx="0">
                  <c:v>45.9</c:v>
                </c:pt>
                <c:pt idx="1">
                  <c:v>46.9</c:v>
                </c:pt>
                <c:pt idx="2">
                  <c:v>45</c:v>
                </c:pt>
                <c:pt idx="3">
                  <c:v>43.9</c:v>
                </c:pt>
              </c:numCache>
            </c:numRef>
          </c:val>
          <c:extLst xmlns:c16r2="http://schemas.microsoft.com/office/drawing/2015/06/chart">
            <c:ext xmlns:c16="http://schemas.microsoft.com/office/drawing/2014/chart" uri="{C3380CC4-5D6E-409C-BE32-E72D297353CC}">
              <c16:uniqueId val="{0000001A-DCE3-4025-8174-DE906D089B1E}"/>
            </c:ext>
          </c:extLst>
        </c:ser>
        <c:dLbls>
          <c:showLegendKey val="0"/>
          <c:showVal val="0"/>
          <c:showCatName val="0"/>
          <c:showSerName val="0"/>
          <c:showPercent val="1"/>
          <c:showBubbleSize val="0"/>
          <c:showLeaderLines val="1"/>
        </c:dLbls>
        <c:firstSliceAng val="0"/>
      </c:pieChart>
      <c:spPr>
        <a:noFill/>
        <a:ln w="12672">
          <a:noFill/>
          <a:prstDash val="solid"/>
        </a:ln>
      </c:spPr>
    </c:plotArea>
    <c:legend>
      <c:legendPos val="r"/>
      <c:layout>
        <c:manualLayout>
          <c:xMode val="edge"/>
          <c:yMode val="edge"/>
          <c:x val="0.65849009031351735"/>
          <c:y val="4.9450549450549483E-2"/>
          <c:w val="0.24838365676731394"/>
          <c:h val="0.93406593406593408"/>
        </c:manualLayout>
      </c:layout>
      <c:overlay val="0"/>
      <c:spPr>
        <a:noFill/>
        <a:ln w="3168">
          <a:noFill/>
          <a:prstDash val="solid"/>
        </a:ln>
      </c:spPr>
      <c:txPr>
        <a:bodyPr/>
        <a:lstStyle/>
        <a:p>
          <a:pPr>
            <a:defRPr lang="en-US" sz="733" b="1" i="0" u="none" strike="noStrike" baseline="0">
              <a:solidFill>
                <a:srgbClr val="000000"/>
              </a:solidFill>
              <a:latin typeface="Calibri"/>
              <a:ea typeface="Calibri"/>
              <a:cs typeface="Calibri"/>
            </a:defRPr>
          </a:pPr>
          <a:endParaRPr lang="sr-Latn-RS"/>
        </a:p>
      </c:txPr>
    </c:legend>
    <c:plotVisOnly val="1"/>
    <c:dispBlanksAs val="zero"/>
    <c:showDLblsOverMax val="0"/>
  </c:chart>
  <c:spPr>
    <a:noFill/>
    <a:ln>
      <a:solidFill>
        <a:srgbClr val="808080"/>
      </a:solidFill>
    </a:ln>
  </c:spPr>
  <c:txPr>
    <a:bodyPr/>
    <a:lstStyle/>
    <a:p>
      <a:pPr>
        <a:defRPr sz="798"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84030998101523"/>
          <c:y val="9.6748087227215909E-2"/>
          <c:w val="0.41512661707800458"/>
          <c:h val="0.79646385834733247"/>
        </c:manualLayout>
      </c:layout>
      <c:pieChart>
        <c:varyColors val="1"/>
        <c:ser>
          <c:idx val="0"/>
          <c:order val="0"/>
          <c:tx>
            <c:strRef>
              <c:f>Sheet1!$A$2</c:f>
              <c:strCache>
                <c:ptCount val="1"/>
                <c:pt idx="0">
                  <c:v>East</c:v>
                </c:pt>
              </c:strCache>
            </c:strRef>
          </c:tx>
          <c:spPr>
            <a:solidFill>
              <a:srgbClr val="9999FF"/>
            </a:solidFill>
            <a:ln w="12671">
              <a:solidFill>
                <a:srgbClr val="000000"/>
              </a:solidFill>
              <a:prstDash val="solid"/>
            </a:ln>
          </c:spPr>
          <c:explosion val="25"/>
          <c:dPt>
            <c:idx val="1"/>
            <c:bubble3D val="0"/>
            <c:spPr>
              <a:solidFill>
                <a:srgbClr val="993366"/>
              </a:solidFill>
              <a:ln w="12671">
                <a:solidFill>
                  <a:srgbClr val="000000"/>
                </a:solidFill>
                <a:prstDash val="solid"/>
              </a:ln>
            </c:spPr>
            <c:extLst xmlns:c16r2="http://schemas.microsoft.com/office/drawing/2015/06/chart">
              <c:ext xmlns:c16="http://schemas.microsoft.com/office/drawing/2014/chart" uri="{C3380CC4-5D6E-409C-BE32-E72D297353CC}">
                <c16:uniqueId val="{00000001-15F7-4585-BDDF-A93C7AE92043}"/>
              </c:ext>
            </c:extLst>
          </c:dPt>
          <c:dPt>
            <c:idx val="2"/>
            <c:bubble3D val="0"/>
            <c:spPr>
              <a:solidFill>
                <a:srgbClr val="FFFFCC"/>
              </a:solidFill>
              <a:ln w="12671">
                <a:solidFill>
                  <a:srgbClr val="000000"/>
                </a:solidFill>
                <a:prstDash val="solid"/>
              </a:ln>
            </c:spPr>
            <c:extLst xmlns:c16r2="http://schemas.microsoft.com/office/drawing/2015/06/chart">
              <c:ext xmlns:c16="http://schemas.microsoft.com/office/drawing/2014/chart" uri="{C3380CC4-5D6E-409C-BE32-E72D297353CC}">
                <c16:uniqueId val="{00000003-15F7-4585-BDDF-A93C7AE92043}"/>
              </c:ext>
            </c:extLst>
          </c:dPt>
          <c:dPt>
            <c:idx val="3"/>
            <c:bubble3D val="0"/>
            <c:spPr>
              <a:solidFill>
                <a:srgbClr val="CCFFFF"/>
              </a:solidFill>
              <a:ln w="12671">
                <a:solidFill>
                  <a:srgbClr val="000000"/>
                </a:solidFill>
                <a:prstDash val="solid"/>
              </a:ln>
            </c:spPr>
            <c:extLst xmlns:c16r2="http://schemas.microsoft.com/office/drawing/2015/06/chart">
              <c:ext xmlns:c16="http://schemas.microsoft.com/office/drawing/2014/chart" uri="{C3380CC4-5D6E-409C-BE32-E72D297353CC}">
                <c16:uniqueId val="{00000005-15F7-4585-BDDF-A93C7AE92043}"/>
              </c:ext>
            </c:extLst>
          </c:dPt>
          <c:dPt>
            <c:idx val="4"/>
            <c:bubble3D val="0"/>
            <c:spPr>
              <a:solidFill>
                <a:srgbClr val="660066"/>
              </a:solidFill>
              <a:ln w="12671">
                <a:solidFill>
                  <a:srgbClr val="000000"/>
                </a:solidFill>
                <a:prstDash val="solid"/>
              </a:ln>
            </c:spPr>
            <c:extLst xmlns:c16r2="http://schemas.microsoft.com/office/drawing/2015/06/chart">
              <c:ext xmlns:c16="http://schemas.microsoft.com/office/drawing/2014/chart" uri="{C3380CC4-5D6E-409C-BE32-E72D297353CC}">
                <c16:uniqueId val="{00000007-15F7-4585-BDDF-A93C7AE92043}"/>
              </c:ext>
            </c:extLst>
          </c:dPt>
          <c:dLbls>
            <c:numFmt formatCode="0%" sourceLinked="0"/>
            <c:spPr>
              <a:noFill/>
              <a:ln w="25342">
                <a:noFill/>
              </a:ln>
            </c:spPr>
            <c:txPr>
              <a:bodyPr/>
              <a:lstStyle/>
              <a:p>
                <a:pPr>
                  <a:defRPr lang="en-US" sz="1197" b="1"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Sheet1!$B$1:$F$1</c:f>
              <c:strCache>
                <c:ptCount val="5"/>
                <c:pt idx="0">
                  <c:v>plate i naknade</c:v>
                </c:pt>
                <c:pt idx="1">
                  <c:v>materijal i usluge</c:v>
                </c:pt>
                <c:pt idx="2">
                  <c:v>tekući transferi</c:v>
                </c:pt>
                <c:pt idx="3">
                  <c:v>kapitalni transferi</c:v>
                </c:pt>
                <c:pt idx="4">
                  <c:v>kapitalni izdaci</c:v>
                </c:pt>
              </c:strCache>
            </c:strRef>
          </c:cat>
          <c:val>
            <c:numRef>
              <c:f>Sheet1!$B$2:$F$2</c:f>
              <c:numCache>
                <c:formatCode>General</c:formatCode>
                <c:ptCount val="5"/>
                <c:pt idx="0">
                  <c:v>2172413</c:v>
                </c:pt>
                <c:pt idx="1">
                  <c:v>1500288</c:v>
                </c:pt>
                <c:pt idx="2">
                  <c:v>1408947</c:v>
                </c:pt>
                <c:pt idx="3">
                  <c:v>971831</c:v>
                </c:pt>
                <c:pt idx="4">
                  <c:v>428472</c:v>
                </c:pt>
              </c:numCache>
            </c:numRef>
          </c:val>
          <c:extLst xmlns:c16r2="http://schemas.microsoft.com/office/drawing/2015/06/chart">
            <c:ext xmlns:c16="http://schemas.microsoft.com/office/drawing/2014/chart" uri="{C3380CC4-5D6E-409C-BE32-E72D297353CC}">
              <c16:uniqueId val="{00000008-15F7-4585-BDDF-A93C7AE92043}"/>
            </c:ext>
          </c:extLst>
        </c:ser>
        <c:ser>
          <c:idx val="1"/>
          <c:order val="1"/>
          <c:tx>
            <c:strRef>
              <c:f>Sheet1!$A$3</c:f>
              <c:strCache>
                <c:ptCount val="1"/>
                <c:pt idx="0">
                  <c:v>West</c:v>
                </c:pt>
              </c:strCache>
            </c:strRef>
          </c:tx>
          <c:spPr>
            <a:solidFill>
              <a:srgbClr val="993366"/>
            </a:solidFill>
            <a:ln w="12671">
              <a:solidFill>
                <a:srgbClr val="000000"/>
              </a:solidFill>
              <a:prstDash val="solid"/>
            </a:ln>
          </c:spPr>
          <c:explosion val="25"/>
          <c:dPt>
            <c:idx val="0"/>
            <c:bubble3D val="0"/>
            <c:spPr>
              <a:solidFill>
                <a:srgbClr val="9999FF"/>
              </a:solidFill>
              <a:ln w="12671">
                <a:solidFill>
                  <a:srgbClr val="000000"/>
                </a:solidFill>
                <a:prstDash val="solid"/>
              </a:ln>
            </c:spPr>
            <c:extLst xmlns:c16r2="http://schemas.microsoft.com/office/drawing/2015/06/chart">
              <c:ext xmlns:c16="http://schemas.microsoft.com/office/drawing/2014/chart" uri="{C3380CC4-5D6E-409C-BE32-E72D297353CC}">
                <c16:uniqueId val="{0000000A-15F7-4585-BDDF-A93C7AE92043}"/>
              </c:ext>
            </c:extLst>
          </c:dPt>
          <c:dPt>
            <c:idx val="2"/>
            <c:bubble3D val="0"/>
            <c:spPr>
              <a:solidFill>
                <a:srgbClr val="FFFFCC"/>
              </a:solidFill>
              <a:ln w="12671">
                <a:solidFill>
                  <a:srgbClr val="000000"/>
                </a:solidFill>
                <a:prstDash val="solid"/>
              </a:ln>
            </c:spPr>
            <c:extLst xmlns:c16r2="http://schemas.microsoft.com/office/drawing/2015/06/chart">
              <c:ext xmlns:c16="http://schemas.microsoft.com/office/drawing/2014/chart" uri="{C3380CC4-5D6E-409C-BE32-E72D297353CC}">
                <c16:uniqueId val="{0000000C-15F7-4585-BDDF-A93C7AE92043}"/>
              </c:ext>
            </c:extLst>
          </c:dPt>
          <c:dPt>
            <c:idx val="3"/>
            <c:bubble3D val="0"/>
            <c:spPr>
              <a:solidFill>
                <a:srgbClr val="CCFFFF"/>
              </a:solidFill>
              <a:ln w="12671">
                <a:solidFill>
                  <a:srgbClr val="000000"/>
                </a:solidFill>
                <a:prstDash val="solid"/>
              </a:ln>
            </c:spPr>
            <c:extLst xmlns:c16r2="http://schemas.microsoft.com/office/drawing/2015/06/chart">
              <c:ext xmlns:c16="http://schemas.microsoft.com/office/drawing/2014/chart" uri="{C3380CC4-5D6E-409C-BE32-E72D297353CC}">
                <c16:uniqueId val="{0000000E-15F7-4585-BDDF-A93C7AE92043}"/>
              </c:ext>
            </c:extLst>
          </c:dPt>
          <c:dPt>
            <c:idx val="4"/>
            <c:bubble3D val="0"/>
            <c:spPr>
              <a:solidFill>
                <a:srgbClr val="660066"/>
              </a:solidFill>
              <a:ln w="12671">
                <a:solidFill>
                  <a:srgbClr val="000000"/>
                </a:solidFill>
                <a:prstDash val="solid"/>
              </a:ln>
            </c:spPr>
            <c:extLst xmlns:c16r2="http://schemas.microsoft.com/office/drawing/2015/06/chart">
              <c:ext xmlns:c16="http://schemas.microsoft.com/office/drawing/2014/chart" uri="{C3380CC4-5D6E-409C-BE32-E72D297353CC}">
                <c16:uniqueId val="{00000010-15F7-4585-BDDF-A93C7AE92043}"/>
              </c:ext>
            </c:extLst>
          </c:dPt>
          <c:dLbls>
            <c:numFmt formatCode="0%" sourceLinked="0"/>
            <c:spPr>
              <a:noFill/>
              <a:ln w="25342">
                <a:noFill/>
              </a:ln>
            </c:spPr>
            <c:txPr>
              <a:bodyPr/>
              <a:lstStyle/>
              <a:p>
                <a:pPr>
                  <a:defRPr lang="en-US" sz="1197" b="1"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Sheet1!$B$1:$F$1</c:f>
              <c:strCache>
                <c:ptCount val="5"/>
                <c:pt idx="0">
                  <c:v>plate i naknade</c:v>
                </c:pt>
                <c:pt idx="1">
                  <c:v>materijal i usluge</c:v>
                </c:pt>
                <c:pt idx="2">
                  <c:v>tekući transferi</c:v>
                </c:pt>
                <c:pt idx="3">
                  <c:v>kapitalni transferi</c:v>
                </c:pt>
                <c:pt idx="4">
                  <c:v>kapitalni izdaci</c:v>
                </c:pt>
              </c:strCache>
            </c:strRef>
          </c:cat>
          <c:val>
            <c:numRef>
              <c:f>Sheet1!$B$3:$F$3</c:f>
              <c:numCache>
                <c:formatCode>General</c:formatCode>
                <c:ptCount val="5"/>
                <c:pt idx="0">
                  <c:v>30.6</c:v>
                </c:pt>
                <c:pt idx="1">
                  <c:v>38.6</c:v>
                </c:pt>
                <c:pt idx="2">
                  <c:v>34.6</c:v>
                </c:pt>
                <c:pt idx="3">
                  <c:v>31.6</c:v>
                </c:pt>
              </c:numCache>
            </c:numRef>
          </c:val>
          <c:extLst xmlns:c16r2="http://schemas.microsoft.com/office/drawing/2015/06/chart">
            <c:ext xmlns:c16="http://schemas.microsoft.com/office/drawing/2014/chart" uri="{C3380CC4-5D6E-409C-BE32-E72D297353CC}">
              <c16:uniqueId val="{00000011-15F7-4585-BDDF-A93C7AE92043}"/>
            </c:ext>
          </c:extLst>
        </c:ser>
        <c:ser>
          <c:idx val="2"/>
          <c:order val="2"/>
          <c:tx>
            <c:strRef>
              <c:f>Sheet1!$A$4</c:f>
              <c:strCache>
                <c:ptCount val="1"/>
                <c:pt idx="0">
                  <c:v>North</c:v>
                </c:pt>
              </c:strCache>
            </c:strRef>
          </c:tx>
          <c:spPr>
            <a:solidFill>
              <a:srgbClr val="FFFFCC"/>
            </a:solidFill>
            <a:ln w="12671">
              <a:solidFill>
                <a:srgbClr val="000000"/>
              </a:solidFill>
              <a:prstDash val="solid"/>
            </a:ln>
          </c:spPr>
          <c:explosion val="25"/>
          <c:dPt>
            <c:idx val="0"/>
            <c:bubble3D val="0"/>
            <c:spPr>
              <a:solidFill>
                <a:srgbClr val="9999FF"/>
              </a:solidFill>
              <a:ln w="12671">
                <a:solidFill>
                  <a:srgbClr val="000000"/>
                </a:solidFill>
                <a:prstDash val="solid"/>
              </a:ln>
            </c:spPr>
            <c:extLst xmlns:c16r2="http://schemas.microsoft.com/office/drawing/2015/06/chart">
              <c:ext xmlns:c16="http://schemas.microsoft.com/office/drawing/2014/chart" uri="{C3380CC4-5D6E-409C-BE32-E72D297353CC}">
                <c16:uniqueId val="{00000013-15F7-4585-BDDF-A93C7AE92043}"/>
              </c:ext>
            </c:extLst>
          </c:dPt>
          <c:dPt>
            <c:idx val="1"/>
            <c:bubble3D val="0"/>
            <c:spPr>
              <a:solidFill>
                <a:srgbClr val="993366"/>
              </a:solidFill>
              <a:ln w="12671">
                <a:solidFill>
                  <a:srgbClr val="000000"/>
                </a:solidFill>
                <a:prstDash val="solid"/>
              </a:ln>
            </c:spPr>
            <c:extLst xmlns:c16r2="http://schemas.microsoft.com/office/drawing/2015/06/chart">
              <c:ext xmlns:c16="http://schemas.microsoft.com/office/drawing/2014/chart" uri="{C3380CC4-5D6E-409C-BE32-E72D297353CC}">
                <c16:uniqueId val="{00000015-15F7-4585-BDDF-A93C7AE92043}"/>
              </c:ext>
            </c:extLst>
          </c:dPt>
          <c:dPt>
            <c:idx val="3"/>
            <c:bubble3D val="0"/>
            <c:spPr>
              <a:solidFill>
                <a:srgbClr val="CCFFFF"/>
              </a:solidFill>
              <a:ln w="12671">
                <a:solidFill>
                  <a:srgbClr val="000000"/>
                </a:solidFill>
                <a:prstDash val="solid"/>
              </a:ln>
            </c:spPr>
            <c:extLst xmlns:c16r2="http://schemas.microsoft.com/office/drawing/2015/06/chart">
              <c:ext xmlns:c16="http://schemas.microsoft.com/office/drawing/2014/chart" uri="{C3380CC4-5D6E-409C-BE32-E72D297353CC}">
                <c16:uniqueId val="{00000017-15F7-4585-BDDF-A93C7AE92043}"/>
              </c:ext>
            </c:extLst>
          </c:dPt>
          <c:dPt>
            <c:idx val="4"/>
            <c:bubble3D val="0"/>
            <c:spPr>
              <a:solidFill>
                <a:srgbClr val="660066"/>
              </a:solidFill>
              <a:ln w="12671">
                <a:solidFill>
                  <a:srgbClr val="000000"/>
                </a:solidFill>
                <a:prstDash val="solid"/>
              </a:ln>
            </c:spPr>
            <c:extLst xmlns:c16r2="http://schemas.microsoft.com/office/drawing/2015/06/chart">
              <c:ext xmlns:c16="http://schemas.microsoft.com/office/drawing/2014/chart" uri="{C3380CC4-5D6E-409C-BE32-E72D297353CC}">
                <c16:uniqueId val="{00000019-15F7-4585-BDDF-A93C7AE92043}"/>
              </c:ext>
            </c:extLst>
          </c:dPt>
          <c:dLbls>
            <c:numFmt formatCode="0%" sourceLinked="0"/>
            <c:spPr>
              <a:noFill/>
              <a:ln w="25342">
                <a:noFill/>
              </a:ln>
            </c:spPr>
            <c:txPr>
              <a:bodyPr/>
              <a:lstStyle/>
              <a:p>
                <a:pPr>
                  <a:defRPr lang="en-US" sz="1197" b="1"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Sheet1!$B$1:$F$1</c:f>
              <c:strCache>
                <c:ptCount val="5"/>
                <c:pt idx="0">
                  <c:v>plate i naknade</c:v>
                </c:pt>
                <c:pt idx="1">
                  <c:v>materijal i usluge</c:v>
                </c:pt>
                <c:pt idx="2">
                  <c:v>tekući transferi</c:v>
                </c:pt>
                <c:pt idx="3">
                  <c:v>kapitalni transferi</c:v>
                </c:pt>
                <c:pt idx="4">
                  <c:v>kapitalni izdaci</c:v>
                </c:pt>
              </c:strCache>
            </c:strRef>
          </c:cat>
          <c:val>
            <c:numRef>
              <c:f>Sheet1!$B$4:$F$4</c:f>
              <c:numCache>
                <c:formatCode>General</c:formatCode>
                <c:ptCount val="5"/>
                <c:pt idx="0">
                  <c:v>45.9</c:v>
                </c:pt>
                <c:pt idx="1">
                  <c:v>46.9</c:v>
                </c:pt>
                <c:pt idx="2">
                  <c:v>45</c:v>
                </c:pt>
                <c:pt idx="3">
                  <c:v>43.9</c:v>
                </c:pt>
              </c:numCache>
            </c:numRef>
          </c:val>
          <c:extLst xmlns:c16r2="http://schemas.microsoft.com/office/drawing/2015/06/chart">
            <c:ext xmlns:c16="http://schemas.microsoft.com/office/drawing/2014/chart" uri="{C3380CC4-5D6E-409C-BE32-E72D297353CC}">
              <c16:uniqueId val="{0000001A-15F7-4585-BDDF-A93C7AE92043}"/>
            </c:ext>
          </c:extLst>
        </c:ser>
        <c:dLbls>
          <c:showLegendKey val="0"/>
          <c:showVal val="0"/>
          <c:showCatName val="0"/>
          <c:showSerName val="0"/>
          <c:showPercent val="1"/>
          <c:showBubbleSize val="0"/>
          <c:showLeaderLines val="1"/>
        </c:dLbls>
        <c:firstSliceAng val="0"/>
      </c:pieChart>
      <c:spPr>
        <a:noFill/>
        <a:ln w="12671">
          <a:noFill/>
          <a:prstDash val="solid"/>
        </a:ln>
      </c:spPr>
    </c:plotArea>
    <c:legend>
      <c:legendPos val="r"/>
      <c:layout>
        <c:manualLayout>
          <c:xMode val="edge"/>
          <c:yMode val="edge"/>
          <c:x val="0.69384902358903566"/>
          <c:y val="9.8440292113744846E-2"/>
          <c:w val="0.23515439429928742"/>
          <c:h val="0.81081081081081163"/>
        </c:manualLayout>
      </c:layout>
      <c:overlay val="0"/>
      <c:spPr>
        <a:noFill/>
        <a:ln w="3168">
          <a:noFill/>
          <a:prstDash val="solid"/>
        </a:ln>
      </c:spPr>
      <c:txPr>
        <a:bodyPr/>
        <a:lstStyle/>
        <a:p>
          <a:pPr>
            <a:defRPr lang="en-US" sz="733" b="1" i="0" u="none" strike="noStrike" baseline="0">
              <a:solidFill>
                <a:srgbClr val="000000"/>
              </a:solidFill>
              <a:latin typeface="Calibri"/>
              <a:ea typeface="Calibri"/>
              <a:cs typeface="Calibri"/>
            </a:defRPr>
          </a:pPr>
          <a:endParaRPr lang="sr-Latn-RS"/>
        </a:p>
      </c:txPr>
    </c:legend>
    <c:plotVisOnly val="1"/>
    <c:dispBlanksAs val="zero"/>
    <c:showDLblsOverMax val="0"/>
  </c:chart>
  <c:spPr>
    <a:noFill/>
    <a:ln>
      <a:solidFill>
        <a:schemeClr val="tx1">
          <a:lumMod val="50000"/>
          <a:lumOff val="50000"/>
        </a:schemeClr>
      </a:solidFill>
    </a:ln>
  </c:spPr>
  <c:txPr>
    <a:bodyPr/>
    <a:lstStyle/>
    <a:p>
      <a:pPr>
        <a:defRPr sz="973"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2936106867239"/>
          <c:y val="0.12650602409638553"/>
          <c:w val="0.61360872801347899"/>
          <c:h val="0.74770415560661163"/>
        </c:manualLayout>
      </c:layout>
      <c:lineChart>
        <c:grouping val="standard"/>
        <c:varyColors val="0"/>
        <c:ser>
          <c:idx val="0"/>
          <c:order val="0"/>
          <c:tx>
            <c:strRef>
              <c:f>Sheet1!$A$2</c:f>
              <c:strCache>
                <c:ptCount val="1"/>
                <c:pt idx="0">
                  <c:v>Prihodi i primici</c:v>
                </c:pt>
              </c:strCache>
            </c:strRef>
          </c:tx>
          <c:spPr>
            <a:ln w="12675">
              <a:solidFill>
                <a:srgbClr val="000080"/>
              </a:solidFill>
              <a:prstDash val="solid"/>
            </a:ln>
          </c:spPr>
          <c:marker>
            <c:symbol val="diamond"/>
            <c:size val="4"/>
            <c:spPr>
              <a:solidFill>
                <a:srgbClr val="000080"/>
              </a:solidFill>
              <a:ln>
                <a:solidFill>
                  <a:srgbClr val="000080"/>
                </a:solidFill>
                <a:prstDash val="solid"/>
              </a:ln>
            </c:spPr>
          </c:marker>
          <c:cat>
            <c:numRef>
              <c:f>Sheet1!$B$1:$F$1</c:f>
              <c:numCache>
                <c:formatCode>General</c:formatCode>
                <c:ptCount val="5"/>
                <c:pt idx="0">
                  <c:v>2012</c:v>
                </c:pt>
                <c:pt idx="1">
                  <c:v>2013</c:v>
                </c:pt>
                <c:pt idx="2">
                  <c:v>2014</c:v>
                </c:pt>
                <c:pt idx="3">
                  <c:v>2015</c:v>
                </c:pt>
                <c:pt idx="4">
                  <c:v>2016</c:v>
                </c:pt>
              </c:numCache>
            </c:numRef>
          </c:cat>
          <c:val>
            <c:numRef>
              <c:f>Sheet1!$B$2:$F$2</c:f>
              <c:numCache>
                <c:formatCode>General</c:formatCode>
                <c:ptCount val="5"/>
                <c:pt idx="0">
                  <c:v>8691909</c:v>
                </c:pt>
                <c:pt idx="1">
                  <c:v>6389930</c:v>
                </c:pt>
                <c:pt idx="2">
                  <c:v>7530490</c:v>
                </c:pt>
                <c:pt idx="3">
                  <c:v>7368068</c:v>
                </c:pt>
                <c:pt idx="4">
                  <c:v>8515218</c:v>
                </c:pt>
              </c:numCache>
            </c:numRef>
          </c:val>
          <c:smooth val="0"/>
          <c:extLst xmlns:c16r2="http://schemas.microsoft.com/office/drawing/2015/06/chart">
            <c:ext xmlns:c16="http://schemas.microsoft.com/office/drawing/2014/chart" uri="{C3380CC4-5D6E-409C-BE32-E72D297353CC}">
              <c16:uniqueId val="{00000000-8EC2-4946-B6E5-D94C90E43E7E}"/>
            </c:ext>
          </c:extLst>
        </c:ser>
        <c:ser>
          <c:idx val="1"/>
          <c:order val="1"/>
          <c:tx>
            <c:strRef>
              <c:f>Sheet1!$A$3</c:f>
              <c:strCache>
                <c:ptCount val="1"/>
                <c:pt idx="0">
                  <c:v>Rashodi i izdaci</c:v>
                </c:pt>
              </c:strCache>
            </c:strRef>
          </c:tx>
          <c:spPr>
            <a:ln w="12675">
              <a:solidFill>
                <a:srgbClr val="FF00FF"/>
              </a:solidFill>
              <a:prstDash val="solid"/>
            </a:ln>
          </c:spPr>
          <c:marker>
            <c:symbol val="square"/>
            <c:size val="4"/>
            <c:spPr>
              <a:solidFill>
                <a:srgbClr val="FF00FF"/>
              </a:solidFill>
              <a:ln>
                <a:solidFill>
                  <a:srgbClr val="FF00FF"/>
                </a:solidFill>
                <a:prstDash val="solid"/>
              </a:ln>
            </c:spPr>
          </c:marker>
          <c:cat>
            <c:numRef>
              <c:f>Sheet1!$B$1:$F$1</c:f>
              <c:numCache>
                <c:formatCode>General</c:formatCode>
                <c:ptCount val="5"/>
                <c:pt idx="0">
                  <c:v>2012</c:v>
                </c:pt>
                <c:pt idx="1">
                  <c:v>2013</c:v>
                </c:pt>
                <c:pt idx="2">
                  <c:v>2014</c:v>
                </c:pt>
                <c:pt idx="3">
                  <c:v>2015</c:v>
                </c:pt>
                <c:pt idx="4">
                  <c:v>2016</c:v>
                </c:pt>
              </c:numCache>
            </c:numRef>
          </c:cat>
          <c:val>
            <c:numRef>
              <c:f>Sheet1!$B$3:$F$3</c:f>
              <c:numCache>
                <c:formatCode>General</c:formatCode>
                <c:ptCount val="5"/>
                <c:pt idx="0">
                  <c:v>7925768</c:v>
                </c:pt>
                <c:pt idx="1">
                  <c:v>5163284</c:v>
                </c:pt>
                <c:pt idx="2">
                  <c:v>6726631</c:v>
                </c:pt>
                <c:pt idx="3">
                  <c:v>5394445</c:v>
                </c:pt>
                <c:pt idx="4">
                  <c:v>6481951</c:v>
                </c:pt>
              </c:numCache>
            </c:numRef>
          </c:val>
          <c:smooth val="0"/>
          <c:extLst xmlns:c16r2="http://schemas.microsoft.com/office/drawing/2015/06/chart">
            <c:ext xmlns:c16="http://schemas.microsoft.com/office/drawing/2014/chart" uri="{C3380CC4-5D6E-409C-BE32-E72D297353CC}">
              <c16:uniqueId val="{00000001-8EC2-4946-B6E5-D94C90E43E7E}"/>
            </c:ext>
          </c:extLst>
        </c:ser>
        <c:dLbls>
          <c:showLegendKey val="0"/>
          <c:showVal val="0"/>
          <c:showCatName val="0"/>
          <c:showSerName val="0"/>
          <c:showPercent val="0"/>
          <c:showBubbleSize val="0"/>
        </c:dLbls>
        <c:marker val="1"/>
        <c:smooth val="0"/>
        <c:axId val="206575488"/>
        <c:axId val="206577664"/>
      </c:lineChart>
      <c:catAx>
        <c:axId val="206575488"/>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lang="en-US" sz="798" b="1" i="0" u="none" strike="noStrike" baseline="0">
                <a:solidFill>
                  <a:srgbClr val="000000"/>
                </a:solidFill>
                <a:latin typeface="Calibri"/>
                <a:ea typeface="Calibri"/>
                <a:cs typeface="Calibri"/>
              </a:defRPr>
            </a:pPr>
            <a:endParaRPr lang="sr-Latn-RS"/>
          </a:p>
        </c:txPr>
        <c:crossAx val="206577664"/>
        <c:crosses val="autoZero"/>
        <c:auto val="1"/>
        <c:lblAlgn val="ctr"/>
        <c:lblOffset val="100"/>
        <c:tickLblSkip val="1"/>
        <c:tickMarkSkip val="1"/>
        <c:noMultiLvlLbl val="0"/>
      </c:catAx>
      <c:valAx>
        <c:axId val="206577664"/>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lang="en-US" sz="798" b="1" i="0" u="none" strike="noStrike" baseline="0">
                <a:solidFill>
                  <a:srgbClr val="000000"/>
                </a:solidFill>
                <a:latin typeface="Calibri"/>
                <a:ea typeface="Calibri"/>
                <a:cs typeface="Calibri"/>
              </a:defRPr>
            </a:pPr>
            <a:endParaRPr lang="sr-Latn-RS"/>
          </a:p>
        </c:txPr>
        <c:crossAx val="206575488"/>
        <c:crosses val="autoZero"/>
        <c:crossBetween val="between"/>
      </c:valAx>
      <c:spPr>
        <a:pattFill prst="pct50">
          <a:fgClr>
            <a:srgbClr val="C0C0C0"/>
          </a:fgClr>
          <a:bgClr>
            <a:schemeClr val="bg1"/>
          </a:bgClr>
        </a:pattFill>
        <a:ln w="12675">
          <a:solidFill>
            <a:srgbClr val="808080"/>
          </a:solidFill>
          <a:prstDash val="solid"/>
        </a:ln>
      </c:spPr>
    </c:plotArea>
    <c:legend>
      <c:legendPos val="r"/>
      <c:layout>
        <c:manualLayout>
          <c:xMode val="edge"/>
          <c:yMode val="edge"/>
          <c:x val="0.76422764227642481"/>
          <c:y val="0.33132530120482168"/>
          <c:w val="0.22764227642276424"/>
          <c:h val="0.234939759036145"/>
        </c:manualLayout>
      </c:layout>
      <c:overlay val="0"/>
      <c:spPr>
        <a:noFill/>
        <a:ln w="3169">
          <a:solidFill>
            <a:srgbClr val="000000"/>
          </a:solidFill>
          <a:prstDash val="solid"/>
        </a:ln>
      </c:spPr>
      <c:txPr>
        <a:bodyPr/>
        <a:lstStyle/>
        <a:p>
          <a:pPr>
            <a:defRPr lang="en-US" sz="734"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solidFill>
        <a:schemeClr val="tx1">
          <a:lumMod val="50000"/>
          <a:lumOff val="50000"/>
        </a:schemeClr>
      </a:solidFill>
    </a:ln>
  </c:spPr>
  <c:txPr>
    <a:bodyPr/>
    <a:lstStyle/>
    <a:p>
      <a:pPr>
        <a:defRPr sz="798"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pattFill prst="pct10">
          <a:fgClr>
            <a:schemeClr val="tx1"/>
          </a:fgClr>
          <a:bgClr>
            <a:schemeClr val="bg1"/>
          </a:bgClr>
        </a:pattFill>
      </c:spPr>
    </c:sideWall>
    <c:backWall>
      <c:thickness val="0"/>
      <c:spPr>
        <a:pattFill prst="pct10">
          <a:fgClr>
            <a:schemeClr val="tx1"/>
          </a:fgClr>
          <a:bgClr>
            <a:schemeClr val="bg1"/>
          </a:bgClr>
        </a:pattFill>
      </c:spPr>
    </c:backWall>
    <c:plotArea>
      <c:layout>
        <c:manualLayout>
          <c:layoutTarget val="inner"/>
          <c:xMode val="edge"/>
          <c:yMode val="edge"/>
          <c:x val="7.0622967000919773E-2"/>
          <c:y val="0.1417329294700494"/>
          <c:w val="0.89063059425264146"/>
          <c:h val="0.61668609386727369"/>
        </c:manualLayout>
      </c:layout>
      <c:bar3DChart>
        <c:barDir val="col"/>
        <c:grouping val="clustered"/>
        <c:varyColors val="0"/>
        <c:ser>
          <c:idx val="0"/>
          <c:order val="0"/>
          <c:invertIfNegative val="0"/>
          <c:dPt>
            <c:idx val="0"/>
            <c:invertIfNegative val="0"/>
            <c:bubble3D val="0"/>
            <c:spPr>
              <a:solidFill>
                <a:srgbClr val="990000"/>
              </a:solidFill>
            </c:spPr>
            <c:extLst xmlns:c16r2="http://schemas.microsoft.com/office/drawing/2015/06/chart">
              <c:ext xmlns:c16="http://schemas.microsoft.com/office/drawing/2014/chart" uri="{C3380CC4-5D6E-409C-BE32-E72D297353CC}">
                <c16:uniqueId val="{00000001-28E9-4526-B753-2529DCCAE728}"/>
              </c:ext>
            </c:extLst>
          </c:dPt>
          <c:dLbls>
            <c:dLbl>
              <c:idx val="0"/>
              <c:spPr>
                <a:solidFill>
                  <a:srgbClr val="FF7C80"/>
                </a:solidFill>
              </c:spPr>
              <c:txPr>
                <a:bodyPr/>
                <a:lstStyle/>
                <a:p>
                  <a:pPr>
                    <a:defRPr lang="en-US"/>
                  </a:pPr>
                  <a:endParaRPr lang="sr-Latn-RS"/>
                </a:p>
              </c:txPr>
              <c:showLegendKey val="0"/>
              <c:showVal val="1"/>
              <c:showCatName val="0"/>
              <c:showSerName val="0"/>
              <c:showPercent val="0"/>
              <c:showBubbleSize val="0"/>
            </c:dLbl>
            <c:spPr>
              <a:solidFill>
                <a:srgbClr val="99CCFF"/>
              </a:solidFill>
            </c:spPr>
            <c:txPr>
              <a:bodyPr/>
              <a:lstStyle/>
              <a:p>
                <a:pPr>
                  <a:defRPr lang="en-US"/>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Sheet3!$G$4:$T$4</c:f>
              <c:strCache>
                <c:ptCount val="14"/>
                <c:pt idx="0">
                  <c:v>Kalesija</c:v>
                </c:pt>
                <c:pt idx="1">
                  <c:v>Živinice</c:v>
                </c:pt>
                <c:pt idx="2">
                  <c:v>Sapna</c:v>
                </c:pt>
                <c:pt idx="3">
                  <c:v>Tuzla</c:v>
                </c:pt>
                <c:pt idx="4">
                  <c:v>Lukavac</c:v>
                </c:pt>
                <c:pt idx="5">
                  <c:v>Kladanj</c:v>
                </c:pt>
                <c:pt idx="6">
                  <c:v>Čelić</c:v>
                </c:pt>
                <c:pt idx="7">
                  <c:v>Banovići</c:v>
                </c:pt>
                <c:pt idx="8">
                  <c:v>Doboj-Istok</c:v>
                </c:pt>
                <c:pt idx="9">
                  <c:v>Gradačac</c:v>
                </c:pt>
                <c:pt idx="10">
                  <c:v>Teočak</c:v>
                </c:pt>
                <c:pt idx="11">
                  <c:v>Srebrenik</c:v>
                </c:pt>
                <c:pt idx="12">
                  <c:v>Gračanica</c:v>
                </c:pt>
                <c:pt idx="13">
                  <c:v>TK</c:v>
                </c:pt>
              </c:strCache>
            </c:strRef>
          </c:cat>
          <c:val>
            <c:numRef>
              <c:f>Sheet3!$G$5:$T$5</c:f>
              <c:numCache>
                <c:formatCode>General</c:formatCode>
                <c:ptCount val="14"/>
                <c:pt idx="0">
                  <c:v>164</c:v>
                </c:pt>
                <c:pt idx="1">
                  <c:v>193</c:v>
                </c:pt>
                <c:pt idx="2">
                  <c:v>107</c:v>
                </c:pt>
                <c:pt idx="3">
                  <c:v>448</c:v>
                </c:pt>
                <c:pt idx="4">
                  <c:v>149</c:v>
                </c:pt>
                <c:pt idx="5">
                  <c:v>44</c:v>
                </c:pt>
                <c:pt idx="6">
                  <c:v>97</c:v>
                </c:pt>
                <c:pt idx="7">
                  <c:v>140</c:v>
                </c:pt>
                <c:pt idx="8">
                  <c:v>248</c:v>
                </c:pt>
                <c:pt idx="9">
                  <c:v>210</c:v>
                </c:pt>
                <c:pt idx="10">
                  <c:v>252</c:v>
                </c:pt>
                <c:pt idx="11">
                  <c:v>169</c:v>
                </c:pt>
                <c:pt idx="12">
                  <c:v>244</c:v>
                </c:pt>
                <c:pt idx="13">
                  <c:v>188</c:v>
                </c:pt>
              </c:numCache>
            </c:numRef>
          </c:val>
          <c:extLst xmlns:c16r2="http://schemas.microsoft.com/office/drawing/2015/06/chart">
            <c:ext xmlns:c16="http://schemas.microsoft.com/office/drawing/2014/chart" uri="{C3380CC4-5D6E-409C-BE32-E72D297353CC}">
              <c16:uniqueId val="{00000002-28E9-4526-B753-2529DCCAE728}"/>
            </c:ext>
          </c:extLst>
        </c:ser>
        <c:dLbls>
          <c:showLegendKey val="0"/>
          <c:showVal val="0"/>
          <c:showCatName val="0"/>
          <c:showSerName val="0"/>
          <c:showPercent val="0"/>
          <c:showBubbleSize val="0"/>
        </c:dLbls>
        <c:gapWidth val="150"/>
        <c:shape val="box"/>
        <c:axId val="126902656"/>
        <c:axId val="126904192"/>
        <c:axId val="0"/>
      </c:bar3DChart>
      <c:catAx>
        <c:axId val="126902656"/>
        <c:scaling>
          <c:orientation val="minMax"/>
        </c:scaling>
        <c:delete val="0"/>
        <c:axPos val="b"/>
        <c:numFmt formatCode="General" sourceLinked="0"/>
        <c:majorTickMark val="out"/>
        <c:minorTickMark val="none"/>
        <c:tickLblPos val="nextTo"/>
        <c:txPr>
          <a:bodyPr/>
          <a:lstStyle/>
          <a:p>
            <a:pPr>
              <a:defRPr lang="en-US"/>
            </a:pPr>
            <a:endParaRPr lang="sr-Latn-RS"/>
          </a:p>
        </c:txPr>
        <c:crossAx val="126904192"/>
        <c:crosses val="autoZero"/>
        <c:auto val="1"/>
        <c:lblAlgn val="ctr"/>
        <c:lblOffset val="100"/>
        <c:noMultiLvlLbl val="0"/>
      </c:catAx>
      <c:valAx>
        <c:axId val="126904192"/>
        <c:scaling>
          <c:orientation val="minMax"/>
        </c:scaling>
        <c:delete val="0"/>
        <c:axPos val="l"/>
        <c:majorGridlines/>
        <c:numFmt formatCode="General" sourceLinked="1"/>
        <c:majorTickMark val="out"/>
        <c:minorTickMark val="none"/>
        <c:tickLblPos val="nextTo"/>
        <c:txPr>
          <a:bodyPr/>
          <a:lstStyle/>
          <a:p>
            <a:pPr>
              <a:defRPr lang="en-US"/>
            </a:pPr>
            <a:endParaRPr lang="sr-Latn-RS"/>
          </a:p>
        </c:txPr>
        <c:crossAx val="126902656"/>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3055555555555836E-2"/>
          <c:y val="0.17127223680373291"/>
          <c:w val="0.81388888888888999"/>
          <c:h val="0.67559018664333781"/>
        </c:manualLayout>
      </c:layout>
      <c:pie3DChart>
        <c:varyColors val="1"/>
        <c:ser>
          <c:idx val="0"/>
          <c:order val="0"/>
          <c:explosion val="25"/>
          <c:dPt>
            <c:idx val="0"/>
            <c:bubble3D val="0"/>
            <c:spPr>
              <a:solidFill>
                <a:srgbClr val="FFFF99"/>
              </a:solidFill>
              <a:ln>
                <a:solidFill>
                  <a:schemeClr val="tx1"/>
                </a:solidFill>
              </a:ln>
            </c:spPr>
            <c:extLst xmlns:c16r2="http://schemas.microsoft.com/office/drawing/2015/06/chart">
              <c:ext xmlns:c16="http://schemas.microsoft.com/office/drawing/2014/chart" uri="{C3380CC4-5D6E-409C-BE32-E72D297353CC}">
                <c16:uniqueId val="{00000001-5218-40CA-913B-AC493EC5BFF0}"/>
              </c:ext>
            </c:extLst>
          </c:dPt>
          <c:dPt>
            <c:idx val="1"/>
            <c:bubble3D val="0"/>
            <c:spPr>
              <a:solidFill>
                <a:srgbClr val="99CCFF"/>
              </a:solidFill>
              <a:ln>
                <a:solidFill>
                  <a:schemeClr val="tx1"/>
                </a:solidFill>
              </a:ln>
            </c:spPr>
            <c:extLst xmlns:c16r2="http://schemas.microsoft.com/office/drawing/2015/06/chart">
              <c:ext xmlns:c16="http://schemas.microsoft.com/office/drawing/2014/chart" uri="{C3380CC4-5D6E-409C-BE32-E72D297353CC}">
                <c16:uniqueId val="{00000003-5218-40CA-913B-AC493EC5BFF0}"/>
              </c:ext>
            </c:extLst>
          </c:dPt>
          <c:dPt>
            <c:idx val="2"/>
            <c:bubble3D val="0"/>
            <c:spPr>
              <a:solidFill>
                <a:srgbClr val="993366"/>
              </a:solidFill>
              <a:ln>
                <a:solidFill>
                  <a:schemeClr val="tx1"/>
                </a:solidFill>
              </a:ln>
            </c:spPr>
            <c:extLst xmlns:c16r2="http://schemas.microsoft.com/office/drawing/2015/06/chart">
              <c:ext xmlns:c16="http://schemas.microsoft.com/office/drawing/2014/chart" uri="{C3380CC4-5D6E-409C-BE32-E72D297353CC}">
                <c16:uniqueId val="{00000005-5218-40CA-913B-AC493EC5BFF0}"/>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Sheet5!$Q$7:$S$7</c:f>
              <c:strCache>
                <c:ptCount val="3"/>
                <c:pt idx="0">
                  <c:v>0-14</c:v>
                </c:pt>
                <c:pt idx="1">
                  <c:v>65+</c:v>
                </c:pt>
                <c:pt idx="2">
                  <c:v>15-64</c:v>
                </c:pt>
              </c:strCache>
            </c:strRef>
          </c:cat>
          <c:val>
            <c:numRef>
              <c:f>Sheet5!$Q$8:$S$8</c:f>
              <c:numCache>
                <c:formatCode>0%</c:formatCode>
                <c:ptCount val="3"/>
                <c:pt idx="0">
                  <c:v>0.28000000000000008</c:v>
                </c:pt>
                <c:pt idx="1">
                  <c:v>7.0000000000000021E-2</c:v>
                </c:pt>
                <c:pt idx="2">
                  <c:v>0.65000000000000135</c:v>
                </c:pt>
              </c:numCache>
            </c:numRef>
          </c:val>
          <c:extLst xmlns:c16r2="http://schemas.microsoft.com/office/drawing/2015/06/chart">
            <c:ext xmlns:c16="http://schemas.microsoft.com/office/drawing/2014/chart" uri="{C3380CC4-5D6E-409C-BE32-E72D297353CC}">
              <c16:uniqueId val="{00000006-5218-40CA-913B-AC493EC5BFF0}"/>
            </c:ext>
          </c:extLst>
        </c:ser>
        <c:dLbls>
          <c:showLegendKey val="0"/>
          <c:showVal val="0"/>
          <c:showCatName val="0"/>
          <c:showSerName val="0"/>
          <c:showPercent val="0"/>
          <c:showBubbleSize val="0"/>
          <c:showLeaderLines val="1"/>
        </c:dLbls>
      </c:pie3DChart>
    </c:plotArea>
    <c:legend>
      <c:legendPos val="b"/>
      <c:overlay val="0"/>
    </c:legend>
    <c:plotVisOnly val="1"/>
    <c:dispBlanksAs val="zero"/>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960144927536249"/>
          <c:y val="0.2130057936306349"/>
          <c:w val="0.79528985507246353"/>
          <c:h val="0.61034531973825867"/>
        </c:manualLayout>
      </c:layout>
      <c:pie3DChart>
        <c:varyColors val="1"/>
        <c:ser>
          <c:idx val="0"/>
          <c:order val="0"/>
          <c:explosion val="25"/>
          <c:dPt>
            <c:idx val="0"/>
            <c:bubble3D val="0"/>
            <c:spPr>
              <a:solidFill>
                <a:srgbClr val="FFFF99"/>
              </a:solidFill>
              <a:ln>
                <a:solidFill>
                  <a:schemeClr val="tx1"/>
                </a:solidFill>
              </a:ln>
            </c:spPr>
            <c:extLst xmlns:c16r2="http://schemas.microsoft.com/office/drawing/2015/06/chart">
              <c:ext xmlns:c16="http://schemas.microsoft.com/office/drawing/2014/chart" uri="{C3380CC4-5D6E-409C-BE32-E72D297353CC}">
                <c16:uniqueId val="{00000001-C92A-4988-84CE-316A52F9A8A7}"/>
              </c:ext>
            </c:extLst>
          </c:dPt>
          <c:dPt>
            <c:idx val="1"/>
            <c:bubble3D val="0"/>
            <c:spPr>
              <a:solidFill>
                <a:srgbClr val="99CCFF"/>
              </a:solidFill>
              <a:ln>
                <a:solidFill>
                  <a:schemeClr val="tx1"/>
                </a:solidFill>
              </a:ln>
            </c:spPr>
            <c:extLst xmlns:c16r2="http://schemas.microsoft.com/office/drawing/2015/06/chart">
              <c:ext xmlns:c16="http://schemas.microsoft.com/office/drawing/2014/chart" uri="{C3380CC4-5D6E-409C-BE32-E72D297353CC}">
                <c16:uniqueId val="{00000003-C92A-4988-84CE-316A52F9A8A7}"/>
              </c:ext>
            </c:extLst>
          </c:dPt>
          <c:dPt>
            <c:idx val="2"/>
            <c:bubble3D val="0"/>
            <c:spPr>
              <a:solidFill>
                <a:srgbClr val="993366"/>
              </a:solidFill>
              <a:ln>
                <a:solidFill>
                  <a:schemeClr val="tx1"/>
                </a:solidFill>
              </a:ln>
            </c:spPr>
            <c:extLst xmlns:c16r2="http://schemas.microsoft.com/office/drawing/2015/06/chart">
              <c:ext xmlns:c16="http://schemas.microsoft.com/office/drawing/2014/chart" uri="{C3380CC4-5D6E-409C-BE32-E72D297353CC}">
                <c16:uniqueId val="{00000005-C92A-4988-84CE-316A52F9A8A7}"/>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Sheet5!$I$7:$K$7</c:f>
              <c:strCache>
                <c:ptCount val="3"/>
                <c:pt idx="0">
                  <c:v>0-14</c:v>
                </c:pt>
                <c:pt idx="1">
                  <c:v>65+</c:v>
                </c:pt>
                <c:pt idx="2">
                  <c:v>15-64</c:v>
                </c:pt>
              </c:strCache>
            </c:strRef>
          </c:cat>
          <c:val>
            <c:numRef>
              <c:f>Sheet5!$I$8:$K$8</c:f>
              <c:numCache>
                <c:formatCode>0%</c:formatCode>
                <c:ptCount val="3"/>
                <c:pt idx="0">
                  <c:v>0.17</c:v>
                </c:pt>
                <c:pt idx="1">
                  <c:v>0.15000000000000024</c:v>
                </c:pt>
                <c:pt idx="2">
                  <c:v>0.68</c:v>
                </c:pt>
              </c:numCache>
            </c:numRef>
          </c:val>
          <c:extLst xmlns:c16r2="http://schemas.microsoft.com/office/drawing/2015/06/chart">
            <c:ext xmlns:c16="http://schemas.microsoft.com/office/drawing/2014/chart" uri="{C3380CC4-5D6E-409C-BE32-E72D297353CC}">
              <c16:uniqueId val="{00000006-C92A-4988-84CE-316A52F9A8A7}"/>
            </c:ext>
          </c:extLst>
        </c:ser>
        <c:dLbls>
          <c:showLegendKey val="0"/>
          <c:showVal val="0"/>
          <c:showCatName val="0"/>
          <c:showSerName val="0"/>
          <c:showPercent val="0"/>
          <c:showBubbleSize val="0"/>
          <c:showLeaderLines val="1"/>
        </c:dLbls>
      </c:pie3DChart>
    </c:plotArea>
    <c:legend>
      <c:legendPos val="b"/>
      <c:overlay val="0"/>
    </c:legend>
    <c:plotVisOnly val="1"/>
    <c:dispBlanksAs val="zero"/>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1424016124059"/>
          <c:y val="0.16473124658111526"/>
          <c:w val="0.80904536012753003"/>
          <c:h val="0.74030972471152101"/>
        </c:manualLayout>
      </c:layout>
      <c:scatterChart>
        <c:scatterStyle val="smoothMarker"/>
        <c:varyColors val="0"/>
        <c:ser>
          <c:idx val="0"/>
          <c:order val="0"/>
          <c:tx>
            <c:strRef>
              <c:f>Sheet6!$D$6</c:f>
              <c:strCache>
                <c:ptCount val="1"/>
                <c:pt idx="0">
                  <c:v>Umrli</c:v>
                </c:pt>
              </c:strCache>
            </c:strRef>
          </c:tx>
          <c:dLbls>
            <c:dLbl>
              <c:idx val="0"/>
              <c:layout>
                <c:manualLayout>
                  <c:x val="0"/>
                  <c:y val="2.935010482180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A6C-4493-9331-A0B1BFE376C8}"/>
                </c:ext>
              </c:extLst>
            </c:dLbl>
            <c:dLbl>
              <c:idx val="1"/>
              <c:layout>
                <c:manualLayout>
                  <c:x val="-3.5991820040899805E-2"/>
                  <c:y val="6.28930817610064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A6C-4493-9331-A0B1BFE376C8}"/>
                </c:ext>
              </c:extLst>
            </c:dLbl>
            <c:dLbl>
              <c:idx val="2"/>
              <c:layout>
                <c:manualLayout>
                  <c:x val="-6.5439672801636165E-2"/>
                  <c:y val="2.5157232704402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A6C-4493-9331-A0B1BFE376C8}"/>
                </c:ext>
              </c:extLst>
            </c:dLbl>
            <c:dLbl>
              <c:idx val="3"/>
              <c:layout>
                <c:manualLayout>
                  <c:x val="-4.9079754601227014E-3"/>
                  <c:y val="-2.09643605870021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A6C-4493-9331-A0B1BFE376C8}"/>
                </c:ext>
              </c:extLst>
            </c:dLbl>
            <c:dLbl>
              <c:idx val="4"/>
              <c:layout>
                <c:manualLayout>
                  <c:x val="-6.5439672801636192E-3"/>
                  <c:y val="5.45073375262055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A6C-4493-9331-A0B1BFE376C8}"/>
                </c:ext>
              </c:extLst>
            </c:dLbl>
            <c:spPr>
              <a:solidFill>
                <a:schemeClr val="accent1">
                  <a:lumMod val="60000"/>
                  <a:lumOff val="4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Sheet6!$E$5:$J$5</c:f>
              <c:numCache>
                <c:formatCode>General</c:formatCode>
                <c:ptCount val="6"/>
                <c:pt idx="0">
                  <c:v>1991</c:v>
                </c:pt>
                <c:pt idx="1">
                  <c:v>2003</c:v>
                </c:pt>
                <c:pt idx="2">
                  <c:v>2004</c:v>
                </c:pt>
                <c:pt idx="3">
                  <c:v>2005</c:v>
                </c:pt>
                <c:pt idx="4">
                  <c:v>2006</c:v>
                </c:pt>
                <c:pt idx="5">
                  <c:v>2016</c:v>
                </c:pt>
              </c:numCache>
            </c:numRef>
          </c:xVal>
          <c:yVal>
            <c:numRef>
              <c:f>Sheet6!$E$6:$J$6</c:f>
              <c:numCache>
                <c:formatCode>0.00</c:formatCode>
                <c:ptCount val="6"/>
                <c:pt idx="0" formatCode="General">
                  <c:v>3.54</c:v>
                </c:pt>
                <c:pt idx="1">
                  <c:v>6.71</c:v>
                </c:pt>
                <c:pt idx="2">
                  <c:v>12.7</c:v>
                </c:pt>
                <c:pt idx="3">
                  <c:v>8.49</c:v>
                </c:pt>
                <c:pt idx="4">
                  <c:v>5.78</c:v>
                </c:pt>
              </c:numCache>
            </c:numRef>
          </c:yVal>
          <c:smooth val="1"/>
          <c:extLst xmlns:c16r2="http://schemas.microsoft.com/office/drawing/2015/06/chart">
            <c:ext xmlns:c16="http://schemas.microsoft.com/office/drawing/2014/chart" uri="{C3380CC4-5D6E-409C-BE32-E72D297353CC}">
              <c16:uniqueId val="{00000005-2A6C-4493-9331-A0B1BFE376C8}"/>
            </c:ext>
          </c:extLst>
        </c:ser>
        <c:ser>
          <c:idx val="1"/>
          <c:order val="1"/>
          <c:tx>
            <c:strRef>
              <c:f>Sheet6!$D$7</c:f>
              <c:strCache>
                <c:ptCount val="1"/>
                <c:pt idx="0">
                  <c:v>Priraštaj</c:v>
                </c:pt>
              </c:strCache>
            </c:strRef>
          </c:tx>
          <c:dLbls>
            <c:dLbl>
              <c:idx val="0"/>
              <c:layout>
                <c:manualLayout>
                  <c:x val="0"/>
                  <c:y val="-5.03144654088049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A6C-4493-9331-A0B1BFE376C8}"/>
                </c:ext>
              </c:extLst>
            </c:dLbl>
            <c:dLbl>
              <c:idx val="1"/>
              <c:layout>
                <c:manualLayout>
                  <c:x val="-6.0531697341513487E-2"/>
                  <c:y val="2.09643605870021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A6C-4493-9331-A0B1BFE376C8}"/>
                </c:ext>
              </c:extLst>
            </c:dLbl>
            <c:dLbl>
              <c:idx val="4"/>
              <c:layout>
                <c:manualLayout>
                  <c:x val="-1.6359918200409E-3"/>
                  <c:y val="-4.19287211740041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A6C-4493-9331-A0B1BFE376C8}"/>
                </c:ext>
              </c:extLst>
            </c:dLbl>
            <c:spPr>
              <a:solidFill>
                <a:schemeClr val="accent2">
                  <a:lumMod val="60000"/>
                  <a:lumOff val="4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Sheet6!$E$5:$J$5</c:f>
              <c:numCache>
                <c:formatCode>General</c:formatCode>
                <c:ptCount val="6"/>
                <c:pt idx="0">
                  <c:v>1991</c:v>
                </c:pt>
                <c:pt idx="1">
                  <c:v>2003</c:v>
                </c:pt>
                <c:pt idx="2">
                  <c:v>2004</c:v>
                </c:pt>
                <c:pt idx="3">
                  <c:v>2005</c:v>
                </c:pt>
                <c:pt idx="4">
                  <c:v>2006</c:v>
                </c:pt>
                <c:pt idx="5">
                  <c:v>2016</c:v>
                </c:pt>
              </c:numCache>
            </c:numRef>
          </c:xVal>
          <c:yVal>
            <c:numRef>
              <c:f>Sheet6!$E$7:$J$7</c:f>
              <c:numCache>
                <c:formatCode>0.00</c:formatCode>
                <c:ptCount val="6"/>
                <c:pt idx="0">
                  <c:v>12.39</c:v>
                </c:pt>
                <c:pt idx="1">
                  <c:v>7.9300000000000024</c:v>
                </c:pt>
                <c:pt idx="2">
                  <c:v>0.49000000000000032</c:v>
                </c:pt>
                <c:pt idx="3">
                  <c:v>2.68</c:v>
                </c:pt>
                <c:pt idx="4">
                  <c:v>6.23</c:v>
                </c:pt>
                <c:pt idx="5">
                  <c:v>4.74</c:v>
                </c:pt>
              </c:numCache>
            </c:numRef>
          </c:yVal>
          <c:smooth val="1"/>
          <c:extLst xmlns:c16r2="http://schemas.microsoft.com/office/drawing/2015/06/chart">
            <c:ext xmlns:c16="http://schemas.microsoft.com/office/drawing/2014/chart" uri="{C3380CC4-5D6E-409C-BE32-E72D297353CC}">
              <c16:uniqueId val="{00000009-2A6C-4493-9331-A0B1BFE376C8}"/>
            </c:ext>
          </c:extLst>
        </c:ser>
        <c:ser>
          <c:idx val="2"/>
          <c:order val="2"/>
          <c:tx>
            <c:strRef>
              <c:f>Sheet6!$D$8</c:f>
              <c:strCache>
                <c:ptCount val="1"/>
                <c:pt idx="0">
                  <c:v>Rođeni</c:v>
                </c:pt>
              </c:strCache>
            </c:strRef>
          </c:tx>
          <c:dLbls>
            <c:dLbl>
              <c:idx val="0"/>
              <c:layout>
                <c:manualLayout>
                  <c:x val="-4.9079754601227014E-3"/>
                  <c:y val="-4.19287211740041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A6C-4493-9331-A0B1BFE376C8}"/>
                </c:ext>
              </c:extLst>
            </c:dLbl>
            <c:dLbl>
              <c:idx val="1"/>
              <c:layout>
                <c:manualLayout>
                  <c:x val="-6.5439672801636192E-3"/>
                  <c:y val="-3.77358490566038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A6C-4493-9331-A0B1BFE376C8}"/>
                </c:ext>
              </c:extLst>
            </c:dLbl>
            <c:dLbl>
              <c:idx val="2"/>
              <c:layout>
                <c:manualLayout>
                  <c:x val="0"/>
                  <c:y val="-1.25786163522012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A6C-4493-9331-A0B1BFE376C8}"/>
                </c:ext>
              </c:extLst>
            </c:dLbl>
            <c:dLbl>
              <c:idx val="3"/>
              <c:layout>
                <c:manualLayout>
                  <c:x val="-3.2719836400818048E-3"/>
                  <c:y val="3.77358490566038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A6C-4493-9331-A0B1BFE376C8}"/>
                </c:ext>
              </c:extLst>
            </c:dLbl>
            <c:spPr>
              <a:solidFill>
                <a:schemeClr val="accent3">
                  <a:lumMod val="60000"/>
                  <a:lumOff val="4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Sheet6!$E$5:$J$5</c:f>
              <c:numCache>
                <c:formatCode>General</c:formatCode>
                <c:ptCount val="6"/>
                <c:pt idx="0">
                  <c:v>1991</c:v>
                </c:pt>
                <c:pt idx="1">
                  <c:v>2003</c:v>
                </c:pt>
                <c:pt idx="2">
                  <c:v>2004</c:v>
                </c:pt>
                <c:pt idx="3">
                  <c:v>2005</c:v>
                </c:pt>
                <c:pt idx="4">
                  <c:v>2006</c:v>
                </c:pt>
                <c:pt idx="5">
                  <c:v>2016</c:v>
                </c:pt>
              </c:numCache>
            </c:numRef>
          </c:xVal>
          <c:yVal>
            <c:numRef>
              <c:f>Sheet6!$E$8:$J$8</c:f>
              <c:numCache>
                <c:formatCode>0.00</c:formatCode>
                <c:ptCount val="6"/>
                <c:pt idx="0" formatCode="General">
                  <c:v>15.93</c:v>
                </c:pt>
                <c:pt idx="1">
                  <c:v>14.64</c:v>
                </c:pt>
                <c:pt idx="2">
                  <c:v>13.19</c:v>
                </c:pt>
                <c:pt idx="3">
                  <c:v>11.17</c:v>
                </c:pt>
                <c:pt idx="4">
                  <c:v>12</c:v>
                </c:pt>
              </c:numCache>
            </c:numRef>
          </c:yVal>
          <c:smooth val="1"/>
          <c:extLst xmlns:c16r2="http://schemas.microsoft.com/office/drawing/2015/06/chart">
            <c:ext xmlns:c16="http://schemas.microsoft.com/office/drawing/2014/chart" uri="{C3380CC4-5D6E-409C-BE32-E72D297353CC}">
              <c16:uniqueId val="{0000000E-2A6C-4493-9331-A0B1BFE376C8}"/>
            </c:ext>
          </c:extLst>
        </c:ser>
        <c:dLbls>
          <c:showLegendKey val="0"/>
          <c:showVal val="0"/>
          <c:showCatName val="0"/>
          <c:showSerName val="0"/>
          <c:showPercent val="0"/>
          <c:showBubbleSize val="0"/>
        </c:dLbls>
        <c:axId val="143644544"/>
        <c:axId val="143646080"/>
      </c:scatterChart>
      <c:valAx>
        <c:axId val="143644544"/>
        <c:scaling>
          <c:orientation val="minMax"/>
        </c:scaling>
        <c:delete val="0"/>
        <c:axPos val="b"/>
        <c:numFmt formatCode="General" sourceLinked="1"/>
        <c:majorTickMark val="out"/>
        <c:minorTickMark val="none"/>
        <c:tickLblPos val="nextTo"/>
        <c:crossAx val="143646080"/>
        <c:crosses val="autoZero"/>
        <c:crossBetween val="midCat"/>
      </c:valAx>
      <c:valAx>
        <c:axId val="143646080"/>
        <c:scaling>
          <c:orientation val="minMax"/>
        </c:scaling>
        <c:delete val="0"/>
        <c:axPos val="l"/>
        <c:majorGridlines/>
        <c:numFmt formatCode="General" sourceLinked="1"/>
        <c:majorTickMark val="out"/>
        <c:minorTickMark val="none"/>
        <c:tickLblPos val="nextTo"/>
        <c:crossAx val="143644544"/>
        <c:crosses val="autoZero"/>
        <c:crossBetween val="midCat"/>
      </c:valAx>
      <c:spPr>
        <a:solidFill>
          <a:schemeClr val="bg1">
            <a:lumMod val="85000"/>
          </a:schemeClr>
        </a:solidFill>
      </c:spPr>
    </c:plotArea>
    <c:legend>
      <c:legendPos val="t"/>
      <c:layout>
        <c:manualLayout>
          <c:xMode val="edge"/>
          <c:yMode val="edge"/>
          <c:x val="0.30323274537014688"/>
          <c:y val="8.0145696500237701E-2"/>
          <c:w val="0.36272414884309678"/>
          <c:h val="6.58758040027526E-2"/>
        </c:manualLayout>
      </c:layout>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400"/>
            </a:pPr>
            <a:r>
              <a:rPr lang="en-US" sz="1400"/>
              <a:t>Iznos direktnih stranih ulaganja na području TK</a:t>
            </a:r>
            <a:r>
              <a:rPr lang="hr-HR" sz="1400" baseline="0"/>
              <a:t> u periodu 2011 - 2013</a:t>
            </a:r>
            <a:endParaRPr lang="en-US" sz="1400"/>
          </a:p>
        </c:rich>
      </c:tx>
      <c:overlay val="0"/>
    </c:title>
    <c:autoTitleDeleted val="0"/>
    <c:plotArea>
      <c:layout>
        <c:manualLayout>
          <c:layoutTarget val="inner"/>
          <c:xMode val="edge"/>
          <c:yMode val="edge"/>
          <c:x val="0.18671966004249568"/>
          <c:y val="0.20584208223972045"/>
          <c:w val="0.80058192725909272"/>
          <c:h val="0.61251175634295718"/>
        </c:manualLayout>
      </c:layout>
      <c:barChart>
        <c:barDir val="col"/>
        <c:grouping val="clustered"/>
        <c:varyColors val="0"/>
        <c:ser>
          <c:idx val="0"/>
          <c:order val="0"/>
          <c:invertIfNegative val="0"/>
          <c:dPt>
            <c:idx val="5"/>
            <c:invertIfNegative val="0"/>
            <c:bubble3D val="0"/>
            <c:spPr>
              <a:solidFill>
                <a:schemeClr val="accent2">
                  <a:lumMod val="75000"/>
                </a:schemeClr>
              </a:solidFill>
              <a:ln>
                <a:solidFill>
                  <a:schemeClr val="accent2">
                    <a:lumMod val="75000"/>
                  </a:schemeClr>
                </a:solidFill>
              </a:ln>
            </c:spPr>
            <c:extLst xmlns:c16r2="http://schemas.microsoft.com/office/drawing/2015/06/chart">
              <c:ext xmlns:c16="http://schemas.microsoft.com/office/drawing/2014/chart" uri="{C3380CC4-5D6E-409C-BE32-E72D297353CC}">
                <c16:uniqueId val="{00000001-F0FE-4FC2-86D8-0DE50C1FAFA3}"/>
              </c:ext>
            </c:extLst>
          </c:dPt>
          <c:dLbls>
            <c:dLbl>
              <c:idx val="0"/>
              <c:layout>
                <c:manualLayout>
                  <c:x val="3.3038341943494406E-2"/>
                  <c:y val="-2.777777777777793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0FE-4FC2-86D8-0DE50C1FAFA3}"/>
                </c:ext>
              </c:extLst>
            </c:dLbl>
            <c:dLbl>
              <c:idx val="1"/>
              <c:layout>
                <c:manualLayout>
                  <c:x val="2.8318578808709478E-2"/>
                  <c:y val="1.736111111111114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0FE-4FC2-86D8-0DE50C1FAFA3}"/>
                </c:ext>
              </c:extLst>
            </c:dLbl>
            <c:dLbl>
              <c:idx val="4"/>
              <c:layout>
                <c:manualLayout>
                  <c:x val="-1.6519170971747203E-2"/>
                  <c:y val="2.083333333333341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0FE-4FC2-86D8-0DE50C1FAFA3}"/>
                </c:ext>
              </c:extLst>
            </c:dLbl>
            <c:spPr>
              <a:noFill/>
              <a:ln>
                <a:noFill/>
              </a:ln>
              <a:effectLst/>
            </c:spPr>
            <c:txPr>
              <a:bodyPr/>
              <a:lstStyle/>
              <a:p>
                <a:pPr>
                  <a:defRPr lang="en-US"/>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Sheet1!$A$71:$A$81</c:f>
              <c:strCache>
                <c:ptCount val="11"/>
                <c:pt idx="0">
                  <c:v>Tuzla</c:v>
                </c:pt>
                <c:pt idx="1">
                  <c:v>Gračanica</c:v>
                </c:pt>
                <c:pt idx="2">
                  <c:v>Srebrenik</c:v>
                </c:pt>
                <c:pt idx="3">
                  <c:v>Čelić</c:v>
                </c:pt>
                <c:pt idx="4">
                  <c:v>Gradačac</c:v>
                </c:pt>
                <c:pt idx="5">
                  <c:v>Kalesija</c:v>
                </c:pt>
                <c:pt idx="6">
                  <c:v>Kladanj</c:v>
                </c:pt>
                <c:pt idx="7">
                  <c:v>Lukavac</c:v>
                </c:pt>
                <c:pt idx="8">
                  <c:v>Živinice</c:v>
                </c:pt>
                <c:pt idx="9">
                  <c:v>Banovići</c:v>
                </c:pt>
                <c:pt idx="10">
                  <c:v>Teočak</c:v>
                </c:pt>
              </c:strCache>
            </c:strRef>
          </c:cat>
          <c:val>
            <c:numRef>
              <c:f>Sheet1!$B$71:$B$81</c:f>
              <c:numCache>
                <c:formatCode>#,##0.00</c:formatCode>
                <c:ptCount val="11"/>
                <c:pt idx="0">
                  <c:v>2115221</c:v>
                </c:pt>
                <c:pt idx="1">
                  <c:v>1739218</c:v>
                </c:pt>
                <c:pt idx="2">
                  <c:v>10000</c:v>
                </c:pt>
                <c:pt idx="3" formatCode="0.00">
                  <c:v>0</c:v>
                </c:pt>
                <c:pt idx="4">
                  <c:v>21933569</c:v>
                </c:pt>
                <c:pt idx="5">
                  <c:v>24720</c:v>
                </c:pt>
                <c:pt idx="6">
                  <c:v>460</c:v>
                </c:pt>
                <c:pt idx="7">
                  <c:v>36401074</c:v>
                </c:pt>
                <c:pt idx="8">
                  <c:v>78620</c:v>
                </c:pt>
                <c:pt idx="9">
                  <c:v>200</c:v>
                </c:pt>
                <c:pt idx="10">
                  <c:v>0</c:v>
                </c:pt>
              </c:numCache>
            </c:numRef>
          </c:val>
          <c:extLst xmlns:c16r2="http://schemas.microsoft.com/office/drawing/2015/06/chart">
            <c:ext xmlns:c16="http://schemas.microsoft.com/office/drawing/2014/chart" uri="{C3380CC4-5D6E-409C-BE32-E72D297353CC}">
              <c16:uniqueId val="{00000005-F0FE-4FC2-86D8-0DE50C1FAFA3}"/>
            </c:ext>
          </c:extLst>
        </c:ser>
        <c:dLbls>
          <c:showLegendKey val="0"/>
          <c:showVal val="1"/>
          <c:showCatName val="0"/>
          <c:showSerName val="0"/>
          <c:showPercent val="0"/>
          <c:showBubbleSize val="0"/>
        </c:dLbls>
        <c:gapWidth val="150"/>
        <c:axId val="143860480"/>
        <c:axId val="143872000"/>
      </c:barChart>
      <c:catAx>
        <c:axId val="143860480"/>
        <c:scaling>
          <c:orientation val="minMax"/>
        </c:scaling>
        <c:delete val="0"/>
        <c:axPos val="b"/>
        <c:numFmt formatCode="General" sourceLinked="1"/>
        <c:majorTickMark val="out"/>
        <c:minorTickMark val="none"/>
        <c:tickLblPos val="nextTo"/>
        <c:txPr>
          <a:bodyPr/>
          <a:lstStyle/>
          <a:p>
            <a:pPr>
              <a:defRPr lang="en-US"/>
            </a:pPr>
            <a:endParaRPr lang="sr-Latn-RS"/>
          </a:p>
        </c:txPr>
        <c:crossAx val="143872000"/>
        <c:crossesAt val="1000"/>
        <c:auto val="1"/>
        <c:lblAlgn val="ctr"/>
        <c:lblOffset val="100"/>
        <c:noMultiLvlLbl val="0"/>
      </c:catAx>
      <c:valAx>
        <c:axId val="143872000"/>
        <c:scaling>
          <c:logBase val="10"/>
          <c:orientation val="minMax"/>
          <c:min val="5000"/>
        </c:scaling>
        <c:delete val="0"/>
        <c:axPos val="l"/>
        <c:numFmt formatCode="#,##0.00" sourceLinked="1"/>
        <c:majorTickMark val="out"/>
        <c:minorTickMark val="none"/>
        <c:tickLblPos val="nextTo"/>
        <c:txPr>
          <a:bodyPr/>
          <a:lstStyle/>
          <a:p>
            <a:pPr>
              <a:defRPr lang="en-US"/>
            </a:pPr>
            <a:endParaRPr lang="sr-Latn-RS"/>
          </a:p>
        </c:txPr>
        <c:crossAx val="14386048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400" b="1" i="0" u="none" strike="noStrike" baseline="0">
                <a:solidFill>
                  <a:srgbClr val="000000"/>
                </a:solidFill>
                <a:latin typeface="Calibri"/>
                <a:ea typeface="Calibri"/>
                <a:cs typeface="Calibri"/>
              </a:defRPr>
            </a:pPr>
            <a:r>
              <a:rPr lang="bs-Latn-BA" sz="1200"/>
              <a:t>Broj</a:t>
            </a:r>
            <a:r>
              <a:rPr lang="bs-Latn-BA" sz="1200" baseline="0"/>
              <a:t> registrovanih preduzeća u TK po općinama 2010 - 2016</a:t>
            </a:r>
            <a:endParaRPr lang="bs-Latn-BA" sz="1200"/>
          </a:p>
        </c:rich>
      </c:tx>
      <c:overlay val="0"/>
    </c:title>
    <c:autoTitleDeleted val="0"/>
    <c:plotArea>
      <c:layout/>
      <c:barChart>
        <c:barDir val="col"/>
        <c:grouping val="clustered"/>
        <c:varyColors val="0"/>
        <c:ser>
          <c:idx val="0"/>
          <c:order val="0"/>
          <c:tx>
            <c:strRef>
              <c:f>'C:\Users\amras\Desktop\[GDP Kalesija 01.xls]Sheet1'!$C$139</c:f>
              <c:strCache>
                <c:ptCount val="1"/>
                <c:pt idx="0">
                  <c:v>2016 godina</c:v>
                </c:pt>
              </c:strCache>
            </c:strRef>
          </c:tx>
          <c:invertIfNegative val="0"/>
          <c:dLbls>
            <c:dLbl>
              <c:idx val="1"/>
              <c:layout>
                <c:manualLayout>
                  <c:x val="0"/>
                  <c:y val="1.19581464872944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9F5-4EFF-B592-466364426BA4}"/>
                </c:ext>
              </c:extLst>
            </c:dLbl>
            <c:dLbl>
              <c:idx val="6"/>
              <c:layout>
                <c:manualLayout>
                  <c:x val="6.4724919093850433E-3"/>
                  <c:y val="8.968609865470872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9F5-4EFF-B592-466364426BA4}"/>
                </c:ext>
              </c:extLst>
            </c:dLbl>
            <c:spPr>
              <a:noFill/>
              <a:ln w="25400">
                <a:noFill/>
              </a:ln>
            </c:spPr>
            <c:txPr>
              <a:bodyPr wrap="square" lIns="38100" tIns="19050" rIns="38100" bIns="19050" anchor="ctr">
                <a:spAutoFit/>
              </a:bodyPr>
              <a:lstStyle/>
              <a:p>
                <a:pPr>
                  <a:defRPr lang="en-US" sz="1000" b="0" i="0" u="none" strike="noStrike" baseline="0">
                    <a:solidFill>
                      <a:srgbClr val="000000"/>
                    </a:solidFill>
                    <a:latin typeface="Calibri"/>
                    <a:ea typeface="Calibri"/>
                    <a:cs typeface="Calibri"/>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'C:\Users\amras\Desktop\[GDP Kalesija 01.xls]Sheet1'!$B$140:$B$152</c:f>
              <c:strCache>
                <c:ptCount val="13"/>
                <c:pt idx="0">
                  <c:v>Banovići</c:v>
                </c:pt>
                <c:pt idx="1">
                  <c:v>Čelić</c:v>
                </c:pt>
                <c:pt idx="2">
                  <c:v>Doboj istok</c:v>
                </c:pt>
                <c:pt idx="3">
                  <c:v>Gračanica</c:v>
                </c:pt>
                <c:pt idx="4">
                  <c:v>Gradačac</c:v>
                </c:pt>
                <c:pt idx="5">
                  <c:v>Kalesija</c:v>
                </c:pt>
                <c:pt idx="6">
                  <c:v>Kladanj</c:v>
                </c:pt>
                <c:pt idx="7">
                  <c:v>Lukavac</c:v>
                </c:pt>
                <c:pt idx="8">
                  <c:v>Sapna</c:v>
                </c:pt>
                <c:pt idx="9">
                  <c:v>Srebrenik</c:v>
                </c:pt>
                <c:pt idx="10">
                  <c:v>Teočak</c:v>
                </c:pt>
                <c:pt idx="11">
                  <c:v>Tuzla</c:v>
                </c:pt>
                <c:pt idx="12">
                  <c:v>Živinice</c:v>
                </c:pt>
              </c:strCache>
            </c:strRef>
          </c:cat>
          <c:val>
            <c:numRef>
              <c:f>'C:\Users\amras\Desktop\[GDP Kalesija 01.xls]Sheet1'!$C$140:$C$152</c:f>
              <c:numCache>
                <c:formatCode>General</c:formatCode>
                <c:ptCount val="13"/>
                <c:pt idx="0">
                  <c:v>960</c:v>
                </c:pt>
                <c:pt idx="1">
                  <c:v>527</c:v>
                </c:pt>
                <c:pt idx="2">
                  <c:v>552</c:v>
                </c:pt>
                <c:pt idx="3">
                  <c:v>2608</c:v>
                </c:pt>
                <c:pt idx="4">
                  <c:v>2661</c:v>
                </c:pt>
                <c:pt idx="5">
                  <c:v>1386</c:v>
                </c:pt>
                <c:pt idx="6">
                  <c:v>802</c:v>
                </c:pt>
                <c:pt idx="7">
                  <c:v>2405</c:v>
                </c:pt>
                <c:pt idx="8">
                  <c:v>348</c:v>
                </c:pt>
                <c:pt idx="9">
                  <c:v>2019</c:v>
                </c:pt>
                <c:pt idx="10">
                  <c:v>284</c:v>
                </c:pt>
                <c:pt idx="11">
                  <c:v>9202</c:v>
                </c:pt>
                <c:pt idx="12">
                  <c:v>2501</c:v>
                </c:pt>
              </c:numCache>
            </c:numRef>
          </c:val>
          <c:extLst xmlns:c16r2="http://schemas.microsoft.com/office/drawing/2015/06/chart">
            <c:ext xmlns:c16="http://schemas.microsoft.com/office/drawing/2014/chart" uri="{C3380CC4-5D6E-409C-BE32-E72D297353CC}">
              <c16:uniqueId val="{00000002-29F5-4EFF-B592-466364426BA4}"/>
            </c:ext>
          </c:extLst>
        </c:ser>
        <c:ser>
          <c:idx val="1"/>
          <c:order val="1"/>
          <c:tx>
            <c:strRef>
              <c:f>'C:\Users\amras\Desktop\[GDP Kalesija 01.xls]Sheet1'!$D$139</c:f>
              <c:strCache>
                <c:ptCount val="1"/>
                <c:pt idx="0">
                  <c:v>2010 godina</c:v>
                </c:pt>
              </c:strCache>
            </c:strRef>
          </c:tx>
          <c:invertIfNegative val="0"/>
          <c:dLbls>
            <c:dLbl>
              <c:idx val="0"/>
              <c:layout>
                <c:manualLayout>
                  <c:x val="1.2944983818770213E-2"/>
                  <c:y val="8.968609865470872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9F5-4EFF-B592-466364426BA4}"/>
                </c:ext>
              </c:extLst>
            </c:dLbl>
            <c:dLbl>
              <c:idx val="1"/>
              <c:layout>
                <c:manualLayout>
                  <c:x val="1.0787486515641874E-2"/>
                  <c:y val="2.39162929745889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9F5-4EFF-B592-466364426BA4}"/>
                </c:ext>
              </c:extLst>
            </c:dLbl>
            <c:dLbl>
              <c:idx val="2"/>
              <c:layout>
                <c:manualLayout>
                  <c:x val="8.6299892125134767E-3"/>
                  <c:y val="1.494768310911808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9F5-4EFF-B592-466364426BA4}"/>
                </c:ext>
              </c:extLst>
            </c:dLbl>
            <c:dLbl>
              <c:idx val="3"/>
              <c:layout>
                <c:manualLayout>
                  <c:x val="1.4283834239030022E-2"/>
                  <c:y val="1.8634220496193631E-2"/>
                </c:manualLayout>
              </c:layout>
              <c:spPr/>
              <c:txPr>
                <a:bodyPr/>
                <a:lstStyle/>
                <a:p>
                  <a:pPr>
                    <a:defRPr lang="en-US" sz="1000" b="0" i="0" u="none" strike="noStrike" baseline="0">
                      <a:solidFill>
                        <a:srgbClr val="000000"/>
                      </a:solidFill>
                      <a:latin typeface="Calibri"/>
                      <a:ea typeface="Calibri"/>
                      <a:cs typeface="Calibri"/>
                    </a:defRPr>
                  </a:pPr>
                  <a:endParaRPr lang="sr-Latn-R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9F5-4EFF-B592-466364426BA4}"/>
                </c:ext>
              </c:extLst>
            </c:dLbl>
            <c:dLbl>
              <c:idx val="4"/>
              <c:layout>
                <c:manualLayout>
                  <c:x val="1.294502975860415E-2"/>
                  <c:y val="1.505587819622094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9F5-4EFF-B592-466364426BA4}"/>
                </c:ext>
              </c:extLst>
            </c:dLbl>
            <c:dLbl>
              <c:idx val="5"/>
              <c:layout>
                <c:manualLayout>
                  <c:x val="8.6299212598425195E-3"/>
                  <c:y val="1.804539138490042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9F5-4EFF-B592-466364426BA4}"/>
                </c:ext>
              </c:extLst>
            </c:dLbl>
            <c:dLbl>
              <c:idx val="6"/>
              <c:layout>
                <c:manualLayout>
                  <c:x val="1.51024811218986E-2"/>
                  <c:y val="2.391629297458882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9F5-4EFF-B592-466364426BA4}"/>
                </c:ext>
              </c:extLst>
            </c:dLbl>
            <c:dLbl>
              <c:idx val="7"/>
              <c:layout>
                <c:manualLayout>
                  <c:x val="1.7259978425026891E-2"/>
                  <c:y val="1.195814648729435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9F5-4EFF-B592-466364426BA4}"/>
                </c:ext>
              </c:extLst>
            </c:dLbl>
            <c:dLbl>
              <c:idx val="8"/>
              <c:layout>
                <c:manualLayout>
                  <c:x val="1.126760563380293E-2"/>
                  <c:y val="1.50829562594267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9F5-4EFF-B592-466364426BA4}"/>
                </c:ext>
              </c:extLst>
            </c:dLbl>
            <c:dLbl>
              <c:idx val="9"/>
              <c:layout>
                <c:manualLayout>
                  <c:x val="1.0787486515641856E-2"/>
                  <c:y val="1.19581464872944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9F5-4EFF-B592-466364426BA4}"/>
                </c:ext>
              </c:extLst>
            </c:dLbl>
            <c:dLbl>
              <c:idx val="10"/>
              <c:layout>
                <c:manualLayout>
                  <c:x val="1.2106317696203473E-2"/>
                  <c:y val="1.494756594339727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9F5-4EFF-B592-466364426BA4}"/>
                </c:ext>
              </c:extLst>
            </c:dLbl>
            <c:dLbl>
              <c:idx val="11"/>
              <c:layout>
                <c:manualLayout>
                  <c:x val="2.1574973031283556E-2"/>
                  <c:y val="2.989536621823597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9F5-4EFF-B592-466364426BA4}"/>
                </c:ext>
              </c:extLst>
            </c:dLbl>
            <c:dLbl>
              <c:idx val="12"/>
              <c:layout>
                <c:manualLayout>
                  <c:x val="1.5661676093305241E-2"/>
                  <c:y val="1.804539138490042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9F5-4EFF-B592-466364426BA4}"/>
                </c:ext>
              </c:extLst>
            </c:dLbl>
            <c:spPr>
              <a:noFill/>
              <a:ln w="25400">
                <a:noFill/>
              </a:ln>
            </c:spPr>
            <c:txPr>
              <a:bodyPr wrap="square" lIns="38100" tIns="19050" rIns="38100" bIns="19050" anchor="ctr">
                <a:spAutoFit/>
              </a:bodyPr>
              <a:lstStyle/>
              <a:p>
                <a:pPr>
                  <a:defRPr lang="en-US" sz="1000" b="0" i="0" u="none" strike="noStrike" baseline="0">
                    <a:solidFill>
                      <a:srgbClr val="000000"/>
                    </a:solidFill>
                    <a:latin typeface="Calibri"/>
                    <a:ea typeface="Calibri"/>
                    <a:cs typeface="Calibri"/>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'C:\Users\amras\Desktop\[GDP Kalesija 01.xls]Sheet1'!$B$140:$B$152</c:f>
              <c:strCache>
                <c:ptCount val="13"/>
                <c:pt idx="0">
                  <c:v>Banovići</c:v>
                </c:pt>
                <c:pt idx="1">
                  <c:v>Čelić</c:v>
                </c:pt>
                <c:pt idx="2">
                  <c:v>Doboj istok</c:v>
                </c:pt>
                <c:pt idx="3">
                  <c:v>Gračanica</c:v>
                </c:pt>
                <c:pt idx="4">
                  <c:v>Gradačac</c:v>
                </c:pt>
                <c:pt idx="5">
                  <c:v>Kalesija</c:v>
                </c:pt>
                <c:pt idx="6">
                  <c:v>Kladanj</c:v>
                </c:pt>
                <c:pt idx="7">
                  <c:v>Lukavac</c:v>
                </c:pt>
                <c:pt idx="8">
                  <c:v>Sapna</c:v>
                </c:pt>
                <c:pt idx="9">
                  <c:v>Srebrenik</c:v>
                </c:pt>
                <c:pt idx="10">
                  <c:v>Teočak</c:v>
                </c:pt>
                <c:pt idx="11">
                  <c:v>Tuzla</c:v>
                </c:pt>
                <c:pt idx="12">
                  <c:v>Živinice</c:v>
                </c:pt>
              </c:strCache>
            </c:strRef>
          </c:cat>
          <c:val>
            <c:numRef>
              <c:f>'C:\Users\amras\Desktop\[GDP Kalesija 01.xls]Sheet1'!$D$140:$D$152</c:f>
              <c:numCache>
                <c:formatCode>General</c:formatCode>
                <c:ptCount val="13"/>
                <c:pt idx="0">
                  <c:v>899</c:v>
                </c:pt>
                <c:pt idx="1">
                  <c:v>409</c:v>
                </c:pt>
                <c:pt idx="2">
                  <c:v>478</c:v>
                </c:pt>
                <c:pt idx="3">
                  <c:v>2248</c:v>
                </c:pt>
                <c:pt idx="4">
                  <c:v>2273</c:v>
                </c:pt>
                <c:pt idx="5">
                  <c:v>1107</c:v>
                </c:pt>
                <c:pt idx="6">
                  <c:v>703</c:v>
                </c:pt>
                <c:pt idx="7">
                  <c:v>2095</c:v>
                </c:pt>
                <c:pt idx="8">
                  <c:v>288</c:v>
                </c:pt>
                <c:pt idx="9">
                  <c:v>1653</c:v>
                </c:pt>
                <c:pt idx="10">
                  <c:v>262</c:v>
                </c:pt>
                <c:pt idx="11">
                  <c:v>8039</c:v>
                </c:pt>
                <c:pt idx="12">
                  <c:v>2012</c:v>
                </c:pt>
              </c:numCache>
            </c:numRef>
          </c:val>
          <c:extLst xmlns:c16r2="http://schemas.microsoft.com/office/drawing/2015/06/chart">
            <c:ext xmlns:c16="http://schemas.microsoft.com/office/drawing/2014/chart" uri="{C3380CC4-5D6E-409C-BE32-E72D297353CC}">
              <c16:uniqueId val="{00000010-29F5-4EFF-B592-466364426BA4}"/>
            </c:ext>
          </c:extLst>
        </c:ser>
        <c:dLbls>
          <c:showLegendKey val="0"/>
          <c:showVal val="0"/>
          <c:showCatName val="0"/>
          <c:showSerName val="0"/>
          <c:showPercent val="0"/>
          <c:showBubbleSize val="0"/>
        </c:dLbls>
        <c:gapWidth val="150"/>
        <c:axId val="144335232"/>
        <c:axId val="144336768"/>
      </c:barChart>
      <c:catAx>
        <c:axId val="144335232"/>
        <c:scaling>
          <c:orientation val="minMax"/>
        </c:scaling>
        <c:delete val="0"/>
        <c:axPos val="b"/>
        <c:numFmt formatCode="General" sourceLinked="1"/>
        <c:majorTickMark val="out"/>
        <c:minorTickMark val="none"/>
        <c:tickLblPos val="nextTo"/>
        <c:txPr>
          <a:bodyPr rot="-2700000" vert="horz"/>
          <a:lstStyle/>
          <a:p>
            <a:pPr>
              <a:defRPr lang="en-US" sz="1000" b="0" i="0" u="none" strike="noStrike" baseline="0">
                <a:solidFill>
                  <a:srgbClr val="000000"/>
                </a:solidFill>
                <a:latin typeface="Calibri"/>
                <a:ea typeface="Calibri"/>
                <a:cs typeface="Calibri"/>
              </a:defRPr>
            </a:pPr>
            <a:endParaRPr lang="sr-Latn-RS"/>
          </a:p>
        </c:txPr>
        <c:crossAx val="144336768"/>
        <c:crosses val="autoZero"/>
        <c:auto val="1"/>
        <c:lblAlgn val="ctr"/>
        <c:lblOffset val="100"/>
        <c:noMultiLvlLbl val="0"/>
      </c:catAx>
      <c:valAx>
        <c:axId val="144336768"/>
        <c:scaling>
          <c:orientation val="minMax"/>
        </c:scaling>
        <c:delete val="0"/>
        <c:axPos val="l"/>
        <c:numFmt formatCode="General" sourceLinked="1"/>
        <c:majorTickMark val="out"/>
        <c:minorTickMark val="none"/>
        <c:tickLblPos val="nextTo"/>
        <c:txPr>
          <a:bodyPr rot="0" vert="horz"/>
          <a:lstStyle/>
          <a:p>
            <a:pPr>
              <a:defRPr lang="en-US" sz="1000" b="0" i="0" u="none" strike="noStrike" baseline="0">
                <a:solidFill>
                  <a:srgbClr val="000000"/>
                </a:solidFill>
                <a:latin typeface="Calibri"/>
                <a:ea typeface="Calibri"/>
                <a:cs typeface="Calibri"/>
              </a:defRPr>
            </a:pPr>
            <a:endParaRPr lang="sr-Latn-RS"/>
          </a:p>
        </c:txPr>
        <c:crossAx val="144335232"/>
        <c:crosses val="autoZero"/>
        <c:crossBetween val="between"/>
      </c:valAx>
      <c:spPr>
        <a:noFill/>
        <a:ln w="25400">
          <a:noFill/>
        </a:ln>
      </c:spPr>
    </c:plotArea>
    <c:legend>
      <c:legendPos val="b"/>
      <c:layout>
        <c:manualLayout>
          <c:xMode val="edge"/>
          <c:yMode val="edge"/>
          <c:x val="0.37332460907175508"/>
          <c:y val="0.90914763482618965"/>
          <c:w val="0.25335078185649418"/>
          <c:h val="5.2588507081776092E-2"/>
        </c:manualLayout>
      </c:layout>
      <c:overlay val="0"/>
      <c:txPr>
        <a:bodyPr/>
        <a:lstStyle/>
        <a:p>
          <a:pPr>
            <a:defRPr lang="en-US" sz="920" b="0" i="0" u="none" strike="noStrike" baseline="0">
              <a:solidFill>
                <a:srgbClr val="000000"/>
              </a:solidFill>
              <a:latin typeface="Calibri"/>
              <a:ea typeface="Calibri"/>
              <a:cs typeface="Calibri"/>
            </a:defRPr>
          </a:pPr>
          <a:endParaRPr lang="sr-Latn-RS"/>
        </a:p>
      </c:txPr>
    </c:legend>
    <c:plotVisOnly val="1"/>
    <c:dispBlanksAs val="gap"/>
    <c:showDLblsOverMax val="0"/>
  </c:chart>
  <c:txPr>
    <a:bodyPr/>
    <a:lstStyle/>
    <a:p>
      <a:pPr algn="ct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99340832302705E-2"/>
          <c:y val="8.6937415885659605E-2"/>
          <c:w val="0.91544324630787965"/>
          <c:h val="0.72187612279323554"/>
        </c:manualLayout>
      </c:layout>
      <c:barChart>
        <c:barDir val="col"/>
        <c:grouping val="clustered"/>
        <c:varyColors val="0"/>
        <c:ser>
          <c:idx val="0"/>
          <c:order val="0"/>
          <c:tx>
            <c:strRef>
              <c:f>Sheet8!$E$5</c:f>
              <c:strCache>
                <c:ptCount val="1"/>
                <c:pt idx="0">
                  <c:v>Prosječna neto plaća (KM)</c:v>
                </c:pt>
              </c:strCache>
            </c:strRef>
          </c:tx>
          <c:invertIfNegative val="0"/>
          <c:dLbls>
            <c:spPr>
              <a:noFill/>
              <a:ln>
                <a:noFill/>
              </a:ln>
              <a:effectLst/>
            </c:spPr>
            <c:txPr>
              <a:bodyPr/>
              <a:lstStyle/>
              <a:p>
                <a:pPr>
                  <a:defRPr lang="en-US"/>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Sheet8!$F$4:$S$4</c:f>
              <c:strCache>
                <c:ptCount val="14"/>
                <c:pt idx="0">
                  <c:v>Banovići</c:v>
                </c:pt>
                <c:pt idx="1">
                  <c:v>Čelić</c:v>
                </c:pt>
                <c:pt idx="2">
                  <c:v>Doboj-Istok</c:v>
                </c:pt>
                <c:pt idx="3">
                  <c:v>Gračanica</c:v>
                </c:pt>
                <c:pt idx="4">
                  <c:v>Gradačac</c:v>
                </c:pt>
                <c:pt idx="5">
                  <c:v>Kalesija</c:v>
                </c:pt>
                <c:pt idx="6">
                  <c:v>Kladanj</c:v>
                </c:pt>
                <c:pt idx="7">
                  <c:v>Lukavac</c:v>
                </c:pt>
                <c:pt idx="8">
                  <c:v>Sapna</c:v>
                </c:pt>
                <c:pt idx="9">
                  <c:v>Srebrenik</c:v>
                </c:pt>
                <c:pt idx="10">
                  <c:v>Teočak</c:v>
                </c:pt>
                <c:pt idx="11">
                  <c:v>Tuzla</c:v>
                </c:pt>
                <c:pt idx="12">
                  <c:v>Živinice</c:v>
                </c:pt>
                <c:pt idx="13">
                  <c:v>TK</c:v>
                </c:pt>
              </c:strCache>
            </c:strRef>
          </c:cat>
          <c:val>
            <c:numRef>
              <c:f>Sheet8!$F$5:$S$5</c:f>
              <c:numCache>
                <c:formatCode>General</c:formatCode>
                <c:ptCount val="14"/>
                <c:pt idx="0">
                  <c:v>844</c:v>
                </c:pt>
                <c:pt idx="1">
                  <c:v>625</c:v>
                </c:pt>
                <c:pt idx="2">
                  <c:v>532</c:v>
                </c:pt>
                <c:pt idx="3">
                  <c:v>541</c:v>
                </c:pt>
                <c:pt idx="4">
                  <c:v>602</c:v>
                </c:pt>
                <c:pt idx="5">
                  <c:v>622</c:v>
                </c:pt>
                <c:pt idx="6">
                  <c:v>647</c:v>
                </c:pt>
                <c:pt idx="7">
                  <c:v>764</c:v>
                </c:pt>
                <c:pt idx="8">
                  <c:v>776</c:v>
                </c:pt>
                <c:pt idx="9">
                  <c:v>626</c:v>
                </c:pt>
                <c:pt idx="10">
                  <c:v>770</c:v>
                </c:pt>
                <c:pt idx="11">
                  <c:v>874</c:v>
                </c:pt>
                <c:pt idx="12">
                  <c:v>725</c:v>
                </c:pt>
                <c:pt idx="13">
                  <c:v>744</c:v>
                </c:pt>
              </c:numCache>
            </c:numRef>
          </c:val>
          <c:extLst xmlns:c16r2="http://schemas.microsoft.com/office/drawing/2015/06/chart">
            <c:ext xmlns:c16="http://schemas.microsoft.com/office/drawing/2014/chart" uri="{C3380CC4-5D6E-409C-BE32-E72D297353CC}">
              <c16:uniqueId val="{00000000-FF0A-4B26-9995-431EB5CDF6DE}"/>
            </c:ext>
          </c:extLst>
        </c:ser>
        <c:ser>
          <c:idx val="1"/>
          <c:order val="1"/>
          <c:tx>
            <c:strRef>
              <c:f>Sheet8!$E$6</c:f>
              <c:strCache>
                <c:ptCount val="1"/>
                <c:pt idx="0">
                  <c:v>FBiH = 100</c:v>
                </c:pt>
              </c:strCache>
            </c:strRef>
          </c:tx>
          <c:invertIfNegative val="0"/>
          <c:dLbls>
            <c:dLbl>
              <c:idx val="0"/>
              <c:layout>
                <c:manualLayout>
                  <c:x val="1.4289678076515641E-2"/>
                  <c:y val="-2.74914591592524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F0A-4B26-9995-431EB5CDF6DE}"/>
                </c:ext>
              </c:extLst>
            </c:dLbl>
            <c:dLbl>
              <c:idx val="1"/>
              <c:layout>
                <c:manualLayout>
                  <c:x val="1.2492732629091076E-2"/>
                  <c:y val="2.40471101205158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F0A-4B26-9995-431EB5CDF6DE}"/>
                </c:ext>
              </c:extLst>
            </c:dLbl>
            <c:dLbl>
              <c:idx val="2"/>
              <c:layout>
                <c:manualLayout>
                  <c:x val="1.4289678076515641E-2"/>
                  <c:y val="2.09661959308450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F0A-4B26-9995-431EB5CDF6DE}"/>
                </c:ext>
              </c:extLst>
            </c:dLbl>
            <c:dLbl>
              <c:idx val="3"/>
              <c:layout>
                <c:manualLayout>
                  <c:x val="1.2492732629091076E-2"/>
                  <c:y val="2.02773261230977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F0A-4B26-9995-431EB5CDF6DE}"/>
                </c:ext>
              </c:extLst>
            </c:dLbl>
            <c:dLbl>
              <c:idx val="4"/>
              <c:layout>
                <c:manualLayout>
                  <c:x val="8.8987764182425228E-3"/>
                  <c:y val="1.09965635738832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F0A-4B26-9995-431EB5CDF6DE}"/>
                </c:ext>
              </c:extLst>
            </c:dLbl>
            <c:dLbl>
              <c:idx val="5"/>
              <c:layout>
                <c:manualLayout>
                  <c:x val="8.8987764182425228E-3"/>
                  <c:y val="1.64948453608247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F0A-4B26-9995-431EB5CDF6DE}"/>
                </c:ext>
              </c:extLst>
            </c:dLbl>
            <c:dLbl>
              <c:idx val="6"/>
              <c:layout>
                <c:manualLayout>
                  <c:x val="7.4156470152021122E-3"/>
                  <c:y val="1.37457044673539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F0A-4B26-9995-431EB5CDF6DE}"/>
                </c:ext>
              </c:extLst>
            </c:dLbl>
            <c:dLbl>
              <c:idx val="7"/>
              <c:layout>
                <c:manualLayout>
                  <c:x val="8.8987764182424656E-3"/>
                  <c:y val="5.49828178694170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F0A-4B26-9995-431EB5CDF6DE}"/>
                </c:ext>
              </c:extLst>
            </c:dLbl>
            <c:dLbl>
              <c:idx val="8"/>
              <c:layout>
                <c:manualLayout>
                  <c:x val="7.4156470152021122E-3"/>
                  <c:y val="5.498281786941603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F0A-4B26-9995-431EB5CDF6DE}"/>
                </c:ext>
              </c:extLst>
            </c:dLbl>
            <c:dLbl>
              <c:idx val="9"/>
              <c:layout>
                <c:manualLayout>
                  <c:x val="8.8987764182425228E-3"/>
                  <c:y val="5.49828178694170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F0A-4B26-9995-431EB5CDF6DE}"/>
                </c:ext>
              </c:extLst>
            </c:dLbl>
            <c:dLbl>
              <c:idx val="10"/>
              <c:layout>
                <c:manualLayout>
                  <c:x val="8.8987764182425228E-3"/>
                  <c:y val="8.24742268041236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F0A-4B26-9995-431EB5CDF6DE}"/>
                </c:ext>
              </c:extLst>
            </c:dLbl>
            <c:dLbl>
              <c:idx val="11"/>
              <c:layout>
                <c:manualLayout>
                  <c:x val="8.8987764182425228E-3"/>
                  <c:y val="8.24742268041236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F0A-4B26-9995-431EB5CDF6DE}"/>
                </c:ext>
              </c:extLst>
            </c:dLbl>
            <c:dLbl>
              <c:idx val="12"/>
              <c:layout>
                <c:manualLayout>
                  <c:x val="8.8987764182425228E-3"/>
                  <c:y val="5.498281786941603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F0A-4B26-9995-431EB5CDF6DE}"/>
                </c:ext>
              </c:extLst>
            </c:dLbl>
            <c:dLbl>
              <c:idx val="13"/>
              <c:layout>
                <c:manualLayout>
                  <c:x val="1.03819058212829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F0A-4B26-9995-431EB5CDF6DE}"/>
                </c:ext>
              </c:extLst>
            </c:dLbl>
            <c:spPr>
              <a:noFill/>
              <a:ln>
                <a:noFill/>
              </a:ln>
              <a:effectLst/>
            </c:spPr>
            <c:txPr>
              <a:bodyPr/>
              <a:lstStyle/>
              <a:p>
                <a:pPr>
                  <a:defRPr lang="en-US"/>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Sheet8!$F$4:$S$4</c:f>
              <c:strCache>
                <c:ptCount val="14"/>
                <c:pt idx="0">
                  <c:v>Banovići</c:v>
                </c:pt>
                <c:pt idx="1">
                  <c:v>Čelić</c:v>
                </c:pt>
                <c:pt idx="2">
                  <c:v>Doboj-Istok</c:v>
                </c:pt>
                <c:pt idx="3">
                  <c:v>Gračanica</c:v>
                </c:pt>
                <c:pt idx="4">
                  <c:v>Gradačac</c:v>
                </c:pt>
                <c:pt idx="5">
                  <c:v>Kalesija</c:v>
                </c:pt>
                <c:pt idx="6">
                  <c:v>Kladanj</c:v>
                </c:pt>
                <c:pt idx="7">
                  <c:v>Lukavac</c:v>
                </c:pt>
                <c:pt idx="8">
                  <c:v>Sapna</c:v>
                </c:pt>
                <c:pt idx="9">
                  <c:v>Srebrenik</c:v>
                </c:pt>
                <c:pt idx="10">
                  <c:v>Teočak</c:v>
                </c:pt>
                <c:pt idx="11">
                  <c:v>Tuzla</c:v>
                </c:pt>
                <c:pt idx="12">
                  <c:v>Živinice</c:v>
                </c:pt>
                <c:pt idx="13">
                  <c:v>TK</c:v>
                </c:pt>
              </c:strCache>
            </c:strRef>
          </c:cat>
          <c:val>
            <c:numRef>
              <c:f>Sheet8!$F$6:$S$6</c:f>
              <c:numCache>
                <c:formatCode>General</c:formatCode>
                <c:ptCount val="14"/>
                <c:pt idx="0">
                  <c:v>100.6</c:v>
                </c:pt>
                <c:pt idx="1">
                  <c:v>74.5</c:v>
                </c:pt>
                <c:pt idx="2">
                  <c:v>63.4</c:v>
                </c:pt>
                <c:pt idx="3">
                  <c:v>63.4</c:v>
                </c:pt>
                <c:pt idx="4">
                  <c:v>64.5</c:v>
                </c:pt>
                <c:pt idx="5">
                  <c:v>71.8</c:v>
                </c:pt>
                <c:pt idx="6">
                  <c:v>74.099999999999994</c:v>
                </c:pt>
                <c:pt idx="7">
                  <c:v>77.099999999999994</c:v>
                </c:pt>
                <c:pt idx="8">
                  <c:v>91.1</c:v>
                </c:pt>
                <c:pt idx="9">
                  <c:v>92.5</c:v>
                </c:pt>
                <c:pt idx="10">
                  <c:v>74.599999999999994</c:v>
                </c:pt>
                <c:pt idx="11">
                  <c:v>91.8</c:v>
                </c:pt>
                <c:pt idx="12">
                  <c:v>86.4</c:v>
                </c:pt>
                <c:pt idx="13">
                  <c:v>88.7</c:v>
                </c:pt>
              </c:numCache>
            </c:numRef>
          </c:val>
          <c:extLst xmlns:c16r2="http://schemas.microsoft.com/office/drawing/2015/06/chart">
            <c:ext xmlns:c16="http://schemas.microsoft.com/office/drawing/2014/chart" uri="{C3380CC4-5D6E-409C-BE32-E72D297353CC}">
              <c16:uniqueId val="{0000000F-FF0A-4B26-9995-431EB5CDF6DE}"/>
            </c:ext>
          </c:extLst>
        </c:ser>
        <c:dLbls>
          <c:showLegendKey val="0"/>
          <c:showVal val="0"/>
          <c:showCatName val="0"/>
          <c:showSerName val="0"/>
          <c:showPercent val="0"/>
          <c:showBubbleSize val="0"/>
        </c:dLbls>
        <c:gapWidth val="150"/>
        <c:axId val="144529280"/>
        <c:axId val="144530816"/>
      </c:barChart>
      <c:catAx>
        <c:axId val="144529280"/>
        <c:scaling>
          <c:orientation val="minMax"/>
        </c:scaling>
        <c:delete val="0"/>
        <c:axPos val="b"/>
        <c:numFmt formatCode="General" sourceLinked="0"/>
        <c:majorTickMark val="out"/>
        <c:minorTickMark val="none"/>
        <c:tickLblPos val="nextTo"/>
        <c:txPr>
          <a:bodyPr/>
          <a:lstStyle/>
          <a:p>
            <a:pPr>
              <a:defRPr lang="en-US"/>
            </a:pPr>
            <a:endParaRPr lang="sr-Latn-RS"/>
          </a:p>
        </c:txPr>
        <c:crossAx val="144530816"/>
        <c:crosses val="autoZero"/>
        <c:auto val="1"/>
        <c:lblAlgn val="ctr"/>
        <c:lblOffset val="100"/>
        <c:noMultiLvlLbl val="0"/>
      </c:catAx>
      <c:valAx>
        <c:axId val="144530816"/>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out"/>
        <c:minorTickMark val="none"/>
        <c:tickLblPos val="nextTo"/>
        <c:txPr>
          <a:bodyPr/>
          <a:lstStyle/>
          <a:p>
            <a:pPr>
              <a:defRPr lang="en-US"/>
            </a:pPr>
            <a:endParaRPr lang="sr-Latn-RS"/>
          </a:p>
        </c:txPr>
        <c:crossAx val="144529280"/>
        <c:crosses val="autoZero"/>
        <c:crossBetween val="between"/>
      </c:valAx>
    </c:plotArea>
    <c:legend>
      <c:legendPos val="b"/>
      <c:layout>
        <c:manualLayout>
          <c:xMode val="edge"/>
          <c:yMode val="edge"/>
          <c:x val="0.31507330193253802"/>
          <c:y val="0.9409654651637227"/>
          <c:w val="0.36985339613492696"/>
          <c:h val="5.5940954016478812E-2"/>
        </c:manualLayout>
      </c:layout>
      <c:overlay val="0"/>
      <c:txPr>
        <a:bodyPr/>
        <a:lstStyle/>
        <a:p>
          <a:pPr>
            <a:defRPr lang="en-US"/>
          </a:pPr>
          <a:endParaRPr lang="sr-Latn-RS"/>
        </a:p>
      </c:txPr>
    </c:legend>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200"/>
            </a:pPr>
            <a:r>
              <a:rPr lang="en-US" sz="1200"/>
              <a:t>Struktura zemljišta na području općine </a:t>
            </a:r>
            <a:r>
              <a:rPr lang="bs-Latn-BA" sz="1200"/>
              <a:t>K</a:t>
            </a:r>
            <a:r>
              <a:rPr lang="en-US" sz="1200"/>
              <a:t>alesija </a:t>
            </a:r>
            <a:r>
              <a:rPr lang="bs-Latn-BA" sz="1200"/>
              <a:t>(</a:t>
            </a:r>
            <a:r>
              <a:rPr lang="en-US" sz="1200"/>
              <a:t>2016</a:t>
            </a:r>
            <a:r>
              <a:rPr lang="bs-Latn-BA" sz="1200"/>
              <a:t>)</a:t>
            </a:r>
            <a:r>
              <a:rPr lang="en-US" sz="1200"/>
              <a:t> </a:t>
            </a:r>
          </a:p>
        </c:rich>
      </c:tx>
      <c:layout>
        <c:manualLayout>
          <c:xMode val="edge"/>
          <c:yMode val="edge"/>
          <c:x val="0.17217872975962037"/>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1944191186628027E-2"/>
          <c:y val="0.22965496329070287"/>
          <c:w val="0.82814184968093063"/>
          <c:h val="0.71560910849089177"/>
        </c:manualLayout>
      </c:layout>
      <c:pie3DChart>
        <c:varyColors val="1"/>
        <c:ser>
          <c:idx val="0"/>
          <c:order val="0"/>
          <c:explosion val="25"/>
          <c:dLbls>
            <c:dLbl>
              <c:idx val="0"/>
              <c:layout>
                <c:manualLayout>
                  <c:x val="-0.11029411764705882"/>
                  <c:y val="0.29072681704260828"/>
                </c:manualLayout>
              </c:layout>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C1D-46CB-B575-6907F75FE1DC}"/>
                </c:ext>
              </c:extLst>
            </c:dLbl>
            <c:dLbl>
              <c:idx val="1"/>
              <c:layout>
                <c:manualLayout>
                  <c:x val="0"/>
                  <c:y val="0.11022219136386593"/>
                </c:manualLayout>
              </c:layout>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C1D-46CB-B575-6907F75FE1DC}"/>
                </c:ext>
              </c:extLst>
            </c:dLbl>
            <c:dLbl>
              <c:idx val="2"/>
              <c:layout>
                <c:manualLayout>
                  <c:x val="-6.0150375939849524E-3"/>
                  <c:y val="-0.1418453498649015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C1D-46CB-B575-6907F75FE1DC}"/>
                </c:ext>
              </c:extLst>
            </c:dLbl>
            <c:dLbl>
              <c:idx val="3"/>
              <c:layout>
                <c:manualLayout>
                  <c:x val="-4.2598509052183394E-3"/>
                  <c:y val="-6.3999982082244736E-2"/>
                </c:manualLayout>
              </c:layout>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C1D-46CB-B575-6907F75FE1DC}"/>
                </c:ext>
              </c:extLst>
            </c:dLbl>
            <c:dLbl>
              <c:idx val="4"/>
              <c:layout>
                <c:manualLayout>
                  <c:x val="-1.06496272630458E-2"/>
                  <c:y val="-1.4222218240498831E-2"/>
                </c:manualLayout>
              </c:layout>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C1D-46CB-B575-6907F75FE1DC}"/>
                </c:ext>
              </c:extLst>
            </c:dLbl>
            <c:dLbl>
              <c:idx val="6"/>
              <c:layout>
                <c:manualLayout>
                  <c:x val="0.13418530351437699"/>
                  <c:y val="1.066666368037412E-2"/>
                </c:manualLayout>
              </c:layout>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C1D-46CB-B575-6907F75FE1DC}"/>
                </c:ext>
              </c:extLst>
            </c:dLbl>
            <c:spPr>
              <a:noFill/>
              <a:ln>
                <a:noFill/>
              </a:ln>
              <a:effectLst/>
            </c:spPr>
            <c:txPr>
              <a:bodyPr/>
              <a:lstStyle/>
              <a:p>
                <a:pPr>
                  <a:defRPr lang="en-US"/>
                </a:pPr>
                <a:endParaRPr lang="sr-Latn-RS"/>
              </a:p>
            </c:txPr>
            <c:dLblPos val="outEnd"/>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'[GDP 1.xlsx]Sheet1'!$A$141:$G$141</c:f>
              <c:strCache>
                <c:ptCount val="7"/>
                <c:pt idx="0">
                  <c:v>Oranice i bašte</c:v>
                </c:pt>
                <c:pt idx="1">
                  <c:v>Voćnjaci</c:v>
                </c:pt>
                <c:pt idx="2">
                  <c:v>Vinogradi</c:v>
                </c:pt>
                <c:pt idx="3">
                  <c:v>Livade</c:v>
                </c:pt>
                <c:pt idx="4">
                  <c:v>Pašnjaci</c:v>
                </c:pt>
                <c:pt idx="5">
                  <c:v>Ribnjaci</c:v>
                </c:pt>
                <c:pt idx="6">
                  <c:v>Trstici i bare</c:v>
                </c:pt>
              </c:strCache>
            </c:strRef>
          </c:cat>
          <c:val>
            <c:numRef>
              <c:f>'[GDP 1.xlsx]Sheet1'!$A$142:$G$142</c:f>
              <c:numCache>
                <c:formatCode>General</c:formatCode>
                <c:ptCount val="7"/>
                <c:pt idx="0">
                  <c:v>8195</c:v>
                </c:pt>
                <c:pt idx="1">
                  <c:v>894</c:v>
                </c:pt>
                <c:pt idx="2">
                  <c:v>0</c:v>
                </c:pt>
                <c:pt idx="3">
                  <c:v>2832</c:v>
                </c:pt>
                <c:pt idx="4">
                  <c:v>648</c:v>
                </c:pt>
                <c:pt idx="5">
                  <c:v>0</c:v>
                </c:pt>
                <c:pt idx="6">
                  <c:v>2</c:v>
                </c:pt>
              </c:numCache>
            </c:numRef>
          </c:val>
          <c:extLst xmlns:c16r2="http://schemas.microsoft.com/office/drawing/2015/06/chart">
            <c:ext xmlns:c16="http://schemas.microsoft.com/office/drawing/2014/chart" uri="{C3380CC4-5D6E-409C-BE32-E72D297353CC}">
              <c16:uniqueId val="{00000006-2C1D-46CB-B575-6907F75FE1DC}"/>
            </c:ext>
          </c:extLst>
        </c:ser>
        <c:dLbls>
          <c:showLegendKey val="0"/>
          <c:showVal val="0"/>
          <c:showCatName val="0"/>
          <c:showSerName val="0"/>
          <c:showPercent val="0"/>
          <c:showBubbleSize val="0"/>
          <c:showLeaderLines val="1"/>
        </c:dLbls>
      </c:pie3DChart>
    </c:plotArea>
    <c:plotVisOnly val="1"/>
    <c:dispBlanksAs val="zero"/>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0.18555</cdr:x>
      <cdr:y>0.0381</cdr:y>
    </cdr:from>
    <cdr:to>
      <cdr:x>0.87443</cdr:x>
      <cdr:y>0.14762</cdr:y>
    </cdr:to>
    <cdr:sp macro="" textlink="">
      <cdr:nvSpPr>
        <cdr:cNvPr id="2" name="Rectangle 1"/>
        <cdr:cNvSpPr/>
      </cdr:nvSpPr>
      <cdr:spPr>
        <a:xfrm xmlns:a="http://schemas.openxmlformats.org/drawingml/2006/main">
          <a:off x="735205" y="76200"/>
          <a:ext cx="2729618" cy="219075"/>
        </a:xfrm>
        <a:prstGeom xmlns:a="http://schemas.openxmlformats.org/drawingml/2006/main" prst="rect">
          <a:avLst/>
        </a:prstGeom>
        <a:noFill xmlns:a="http://schemas.openxmlformats.org/drawingml/2006/main"/>
        <a:ln xmlns:a="http://schemas.openxmlformats.org/drawingml/2006/main">
          <a:solidFill>
            <a:schemeClr val="bg1"/>
          </a:solidFill>
        </a:ln>
      </cdr:spPr>
      <cdr:txBody>
        <a:bodyPr xmlns:a="http://schemas.openxmlformats.org/drawingml/2006/main" wrap="square" lIns="91440" tIns="45720" rIns="91440" bIns="45720">
          <a:noAutofit/>
        </a:bodyPr>
        <a:lstStyle xmlns:a="http://schemas.openxmlformats.org/drawingml/2006/main"/>
        <a:p xmlns:a="http://schemas.openxmlformats.org/drawingml/2006/main">
          <a:pPr algn="ctr"/>
          <a:r>
            <a:rPr lang="hr-HR" sz="1100" b="1" cap="none" spc="0">
              <a:ln w="12700">
                <a:noFill/>
                <a:prstDash val="solid"/>
              </a:ln>
              <a:solidFill>
                <a:schemeClr val="tx1">
                  <a:lumMod val="95000"/>
                  <a:lumOff val="5000"/>
                </a:schemeClr>
              </a:solidFill>
              <a:effectLst>
                <a:outerShdw blurRad="41275" dist="20320" dir="1800000" algn="tl" rotWithShape="0">
                  <a:srgbClr val="000000">
                    <a:alpha val="40000"/>
                  </a:srgbClr>
                </a:outerShdw>
              </a:effectLst>
            </a:rPr>
            <a:t>Kretanje</a:t>
          </a:r>
          <a:r>
            <a:rPr lang="hr-HR" sz="1100" b="1" cap="none" spc="0" baseline="0">
              <a:ln w="12700">
                <a:noFill/>
                <a:prstDash val="solid"/>
              </a:ln>
              <a:solidFill>
                <a:schemeClr val="tx1">
                  <a:lumMod val="95000"/>
                  <a:lumOff val="5000"/>
                </a:schemeClr>
              </a:solidFill>
              <a:effectLst>
                <a:outerShdw blurRad="41275" dist="20320" dir="1800000" algn="tl" rotWithShape="0">
                  <a:srgbClr val="000000">
                    <a:alpha val="40000"/>
                  </a:srgbClr>
                </a:outerShdw>
              </a:effectLst>
            </a:rPr>
            <a:t> broja stanovnika u općini Kalesija</a:t>
          </a:r>
          <a:endParaRPr lang="en-US" sz="1100" b="1" cap="none" spc="0">
            <a:ln w="12700">
              <a:noFill/>
              <a:prstDash val="solid"/>
            </a:ln>
            <a:solidFill>
              <a:schemeClr val="tx1">
                <a:lumMod val="95000"/>
                <a:lumOff val="5000"/>
              </a:schemeClr>
            </a:solidFill>
            <a:effectLst>
              <a:outerShdw blurRad="41275" dist="20320" dir="1800000" algn="tl" rotWithShape="0">
                <a:srgbClr val="000000">
                  <a:alpha val="40000"/>
                </a:srgbClr>
              </a:outerShdw>
            </a:effectLs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0.19705</cdr:x>
      <cdr:y>0.04328</cdr:y>
    </cdr:from>
    <cdr:to>
      <cdr:x>0.82222</cdr:x>
      <cdr:y>0.14069</cdr:y>
    </cdr:to>
    <cdr:sp macro="" textlink="">
      <cdr:nvSpPr>
        <cdr:cNvPr id="2" name="Rectangle 1"/>
        <cdr:cNvSpPr/>
      </cdr:nvSpPr>
      <cdr:spPr>
        <a:xfrm xmlns:a="http://schemas.openxmlformats.org/drawingml/2006/main">
          <a:off x="1097967" y="124506"/>
          <a:ext cx="3483557" cy="280205"/>
        </a:xfrm>
        <a:prstGeom xmlns:a="http://schemas.openxmlformats.org/drawingml/2006/main" prst="rect">
          <a:avLst/>
        </a:prstGeom>
        <a:noFill xmlns:a="http://schemas.openxmlformats.org/drawingml/2006/main"/>
        <a:ln xmlns:a="http://schemas.openxmlformats.org/drawingml/2006/main">
          <a:solidFill>
            <a:schemeClr val="bg1"/>
          </a:solidFill>
        </a:l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r>
            <a:rPr lang="hr-HR" sz="1200" b="0" cap="none" spc="0">
              <a:ln w="12700">
                <a:noFill/>
                <a:prstDash val="solid"/>
              </a:ln>
              <a:solidFill>
                <a:schemeClr val="tx1"/>
              </a:solidFill>
              <a:effectLst>
                <a:outerShdw blurRad="41275" dist="20320" dir="1800000" algn="tl" rotWithShape="0">
                  <a:srgbClr val="000000">
                    <a:alpha val="40000"/>
                  </a:srgbClr>
                </a:outerShdw>
              </a:effectLst>
              <a:latin typeface="+mn-lt"/>
            </a:rPr>
            <a:t>Gustina naseljenosti</a:t>
          </a:r>
          <a:r>
            <a:rPr lang="hr-HR" sz="1200" b="0" cap="none" spc="0" baseline="0">
              <a:ln w="12700">
                <a:noFill/>
                <a:prstDash val="solid"/>
              </a:ln>
              <a:solidFill>
                <a:schemeClr val="tx1"/>
              </a:solidFill>
              <a:effectLst>
                <a:outerShdw blurRad="41275" dist="20320" dir="1800000" algn="tl" rotWithShape="0">
                  <a:srgbClr val="000000">
                    <a:alpha val="40000"/>
                  </a:srgbClr>
                </a:outerShdw>
              </a:effectLst>
              <a:latin typeface="+mn-lt"/>
            </a:rPr>
            <a:t>, stanovnik/km</a:t>
          </a:r>
          <a:r>
            <a:rPr lang="hr-HR" sz="1200" b="0" cap="none" spc="0" baseline="30000">
              <a:ln w="12700">
                <a:noFill/>
                <a:prstDash val="solid"/>
              </a:ln>
              <a:solidFill>
                <a:schemeClr val="tx1"/>
              </a:solidFill>
              <a:effectLst>
                <a:outerShdw blurRad="41275" dist="20320" dir="1800000" algn="tl" rotWithShape="0">
                  <a:srgbClr val="000000">
                    <a:alpha val="40000"/>
                  </a:srgbClr>
                </a:outerShdw>
              </a:effectLst>
              <a:latin typeface="+mn-lt"/>
            </a:rPr>
            <a:t>2</a:t>
          </a:r>
          <a:r>
            <a:rPr lang="hr-HR" sz="1200" b="0" cap="none" spc="0" baseline="0">
              <a:ln w="12700">
                <a:noFill/>
                <a:prstDash val="solid"/>
              </a:ln>
              <a:solidFill>
                <a:schemeClr val="tx1"/>
              </a:solidFill>
              <a:effectLst>
                <a:outerShdw blurRad="41275" dist="20320" dir="1800000" algn="tl" rotWithShape="0">
                  <a:srgbClr val="000000">
                    <a:alpha val="40000"/>
                  </a:srgbClr>
                </a:outerShdw>
              </a:effectLst>
              <a:latin typeface="+mn-lt"/>
            </a:rPr>
            <a:t> (2015.)</a:t>
          </a:r>
          <a:endParaRPr lang="en-US" sz="1200" b="0" cap="none" spc="0">
            <a:ln w="12700">
              <a:noFill/>
              <a:prstDash val="solid"/>
            </a:ln>
            <a:solidFill>
              <a:schemeClr val="tx1"/>
            </a:solidFill>
            <a:effectLst>
              <a:outerShdw blurRad="41275" dist="20320" dir="1800000" algn="tl" rotWithShape="0">
                <a:srgbClr val="000000">
                  <a:alpha val="40000"/>
                </a:srgbClr>
              </a:outerShdw>
            </a:effectLst>
            <a:latin typeface="+mn-lt"/>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0.17917</cdr:x>
      <cdr:y>0.03125</cdr:y>
    </cdr:from>
    <cdr:to>
      <cdr:x>0.79792</cdr:x>
      <cdr:y>0.15625</cdr:y>
    </cdr:to>
    <cdr:sp macro="" textlink="">
      <cdr:nvSpPr>
        <cdr:cNvPr id="2" name="TextBox 1"/>
        <cdr:cNvSpPr txBox="1"/>
      </cdr:nvSpPr>
      <cdr:spPr>
        <a:xfrm xmlns:a="http://schemas.openxmlformats.org/drawingml/2006/main">
          <a:off x="819149" y="85725"/>
          <a:ext cx="2828925"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hr-HR" sz="1100" b="1"/>
            <a:t>Starosna struktura stanovništva</a:t>
          </a:r>
          <a:r>
            <a:rPr lang="hr-HR" sz="1100" b="1" baseline="0"/>
            <a:t> 1991. godine </a:t>
          </a:r>
          <a:endParaRPr 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0.16848</cdr:x>
      <cdr:y>0.05991</cdr:y>
    </cdr:from>
    <cdr:to>
      <cdr:x>0.91304</cdr:x>
      <cdr:y>0.17051</cdr:y>
    </cdr:to>
    <cdr:sp macro="" textlink="">
      <cdr:nvSpPr>
        <cdr:cNvPr id="2" name="TextBox 1"/>
        <cdr:cNvSpPr txBox="1"/>
      </cdr:nvSpPr>
      <cdr:spPr>
        <a:xfrm xmlns:a="http://schemas.openxmlformats.org/drawingml/2006/main">
          <a:off x="590550" y="123825"/>
          <a:ext cx="260985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0.0625</cdr:x>
      <cdr:y>0.0553</cdr:y>
    </cdr:from>
    <cdr:to>
      <cdr:x>0.58967</cdr:x>
      <cdr:y>0.19816</cdr:y>
    </cdr:to>
    <cdr:sp macro="" textlink="">
      <cdr:nvSpPr>
        <cdr:cNvPr id="3" name="TextBox 2"/>
        <cdr:cNvSpPr txBox="1"/>
      </cdr:nvSpPr>
      <cdr:spPr>
        <a:xfrm xmlns:a="http://schemas.openxmlformats.org/drawingml/2006/main">
          <a:off x="191696" y="114301"/>
          <a:ext cx="1616857" cy="2952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r-HR" sz="1100" b="1"/>
            <a:t>Starosna</a:t>
          </a:r>
          <a:r>
            <a:rPr lang="hr-HR" sz="1100" b="1" baseline="0"/>
            <a:t> struktura stanovništva 2013. godine</a:t>
          </a:r>
          <a:endParaRPr lang="en-US" sz="1100" b="1"/>
        </a:p>
      </cdr:txBody>
    </cdr:sp>
  </cdr:relSizeAnchor>
</c:userShapes>
</file>

<file path=word/drawings/drawing5.xml><?xml version="1.0" encoding="utf-8"?>
<c:userShapes xmlns:c="http://schemas.openxmlformats.org/drawingml/2006/chart">
  <cdr:relSizeAnchor xmlns:cdr="http://schemas.openxmlformats.org/drawingml/2006/chartDrawing">
    <cdr:from>
      <cdr:x>0.01844</cdr:x>
      <cdr:y>0.01819</cdr:y>
    </cdr:from>
    <cdr:to>
      <cdr:x>0.94393</cdr:x>
      <cdr:y>0.08724</cdr:y>
    </cdr:to>
    <cdr:sp macro="" textlink="">
      <cdr:nvSpPr>
        <cdr:cNvPr id="2" name="TextBox 1"/>
        <cdr:cNvSpPr txBox="1"/>
      </cdr:nvSpPr>
      <cdr:spPr>
        <a:xfrm xmlns:a="http://schemas.openxmlformats.org/drawingml/2006/main">
          <a:off x="123825" y="63412"/>
          <a:ext cx="6214783" cy="24073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hr-HR" sz="1100" b="1"/>
            <a:t>Kretanje prirodnog priraštaja na 1000 stanovnika</a:t>
          </a:r>
          <a:endParaRPr lang="en-US" sz="1100" b="1"/>
        </a:p>
      </cdr:txBody>
    </cdr:sp>
  </cdr:relSizeAnchor>
</c:userShapes>
</file>

<file path=word/drawings/drawing6.xml><?xml version="1.0" encoding="utf-8"?>
<c:userShapes xmlns:c="http://schemas.openxmlformats.org/drawingml/2006/chart">
  <cdr:relSizeAnchor xmlns:cdr="http://schemas.openxmlformats.org/drawingml/2006/chartDrawing">
    <cdr:from>
      <cdr:x>0.13342</cdr:x>
      <cdr:y>0.0116</cdr:y>
    </cdr:from>
    <cdr:to>
      <cdr:x>0.93801</cdr:x>
      <cdr:y>0.07889</cdr:y>
    </cdr:to>
    <cdr:sp macro="" textlink="">
      <cdr:nvSpPr>
        <cdr:cNvPr id="2" name="TextBox 1"/>
        <cdr:cNvSpPr txBox="1"/>
      </cdr:nvSpPr>
      <cdr:spPr>
        <a:xfrm xmlns:a="http://schemas.openxmlformats.org/drawingml/2006/main">
          <a:off x="942974" y="47625"/>
          <a:ext cx="568642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hr-HR" sz="1200" b="1">
              <a:latin typeface="Times New Roman" pitchFamily="18" charset="0"/>
              <a:cs typeface="Times New Roman" pitchFamily="18" charset="0"/>
            </a:rPr>
            <a:t>Prosječna neto plaća u FBiH u 2016. godini</a:t>
          </a:r>
          <a:endParaRPr lang="en-US" sz="12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8CCFB-4A45-4C63-9481-2CB93B989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85</Pages>
  <Words>31317</Words>
  <Characters>178511</Characters>
  <Application>Microsoft Office Word</Application>
  <DocSecurity>0</DocSecurity>
  <Lines>1487</Lines>
  <Paragraphs>418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209410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Dimova</dc:creator>
  <cp:lastModifiedBy>dell</cp:lastModifiedBy>
  <cp:revision>12</cp:revision>
  <cp:lastPrinted>2017-09-08T10:44:00Z</cp:lastPrinted>
  <dcterms:created xsi:type="dcterms:W3CDTF">2017-11-25T22:12:00Z</dcterms:created>
  <dcterms:modified xsi:type="dcterms:W3CDTF">2017-12-05T14:41:00Z</dcterms:modified>
</cp:coreProperties>
</file>